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120"/>
      </w:pPr>
      <w:r>
        <w:rPr>
          <w:rFonts w:ascii="Times New Roman" w:hAnsi="Times New Roman" w:eastAsia="Times New Roman"/>
          <w:color w:val="000000"/>
          <w:sz w:val="36"/>
        </w:rPr>
        <w:t>Open-Ended Coding Analysis Framework - Reporting &amp; Visualization Standards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Version: 1.0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color w:val="000000"/>
          <w:sz w:val="32"/>
        </w:rPr>
        <w:t>1. Introduction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This document establishes visualization and reporting standards for the</w:t>
        <w:br/>
        <w:t>Open-Ended Coding Analysis Framework. Consistent reporting practices ensure</w:t>
        <w:br/>
        <w:t>that analysis results are clearly communicated and easily interpreted by</w:t>
        <w:br/>
        <w:t>stakeholders across different contexts.</w:t>
        <w:br/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color w:val="000000"/>
          <w:sz w:val="32"/>
        </w:rPr>
        <w:t>2. Color Palette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Use the following standardized color palette for all visualizations: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Color Name</w:t>
            </w:r>
          </w:p>
        </w:tc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Hex Value</w:t>
            </w:r>
          </w:p>
        </w:tc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Usage</w:t>
            </w:r>
          </w:p>
        </w:tc>
      </w:tr>
      <w:tr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Primary</w:t>
            </w:r>
          </w:p>
        </w:tc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#1f77b4</w:t>
            </w:r>
          </w:p>
        </w:tc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Main accent, headers, key data</w:t>
            </w:r>
          </w:p>
        </w:tc>
      </w:tr>
      <w:tr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Secondary</w:t>
            </w:r>
          </w:p>
        </w:tc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#f0f2f6</w:t>
            </w:r>
          </w:p>
        </w:tc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Backgrounds, secondary elements</w:t>
            </w:r>
          </w:p>
        </w:tc>
      </w:tr>
      <w:tr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Success</w:t>
            </w:r>
          </w:p>
        </w:tc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#28a745</w:t>
            </w:r>
          </w:p>
        </w:tc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Positive indicators, success states</w:t>
            </w:r>
          </w:p>
        </w:tc>
      </w:tr>
      <w:tr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Warning</w:t>
            </w:r>
          </w:p>
        </w:tc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#ffc107</w:t>
            </w:r>
          </w:p>
        </w:tc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Caution indicators, warnings</w:t>
            </w:r>
          </w:p>
        </w:tc>
      </w:tr>
      <w:tr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Danger</w:t>
            </w:r>
          </w:p>
        </w:tc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#dc3545</w:t>
            </w:r>
          </w:p>
        </w:tc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Error states, negative indicators</w:t>
            </w:r>
          </w:p>
        </w:tc>
      </w:tr>
      <w:tr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Dark</w:t>
            </w:r>
          </w:p>
        </w:tc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#262730</w:t>
            </w:r>
          </w:p>
        </w:tc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Text, borders, dark elements</w:t>
            </w:r>
          </w:p>
        </w:tc>
      </w:tr>
      <w:tr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Light</w:t>
            </w:r>
          </w:p>
        </w:tc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#ffffff</w:t>
            </w:r>
          </w:p>
        </w:tc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Backgrounds, light elements</w:t>
            </w:r>
          </w:p>
        </w:tc>
      </w:tr>
    </w:tbl>
    <w:p>
      <w:pPr>
        <w:pStyle w:val="Heading1"/>
        <w:spacing w:before="240" w:after="120"/>
      </w:pPr>
      <w:r>
        <w:rPr>
          <w:rFonts w:ascii="Times New Roman" w:hAnsi="Times New Roman" w:eastAsia="Times New Roman"/>
          <w:color w:val="000000"/>
          <w:sz w:val="32"/>
        </w:rPr>
        <w:t>3. Typography Standards</w:t>
      </w:r>
    </w:p>
    <w:p>
      <w:pPr>
        <w:pStyle w:val="Heading2"/>
        <w:spacing w:before="240" w:after="120"/>
      </w:pPr>
      <w:r>
        <w:rPr>
          <w:rFonts w:ascii="Times New Roman" w:hAnsi="Times New Roman" w:eastAsia="Times New Roman"/>
          <w:color w:val="000000"/>
          <w:sz w:val="28"/>
        </w:rPr>
        <w:t>3.1 Document Typography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Element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Font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Size (pt)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Weight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Title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Times New Roman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18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Bold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Heading 1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Times New Roman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16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Bold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Heading 2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Times New Roman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14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Bold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Heading 3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Times New Roman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12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Bold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Body Text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Times New Roman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12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Regular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Code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Courier New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10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Regular</w:t>
            </w:r>
          </w:p>
        </w:tc>
      </w:tr>
    </w:tbl>
    <w:p>
      <w:pPr>
        <w:pStyle w:val="Heading2"/>
        <w:spacing w:before="240" w:after="120"/>
      </w:pPr>
      <w:r>
        <w:rPr>
          <w:rFonts w:ascii="Times New Roman" w:hAnsi="Times New Roman" w:eastAsia="Times New Roman"/>
          <w:color w:val="000000"/>
          <w:sz w:val="28"/>
        </w:rPr>
        <w:t>3.2 Visualization Typography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Chart titles: 14pt, bold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Axis labels: 11pt, regular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Tick labels: 10pt, regular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Legend text: 10pt, regular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Annotations: 9pt, italic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color w:val="000000"/>
          <w:sz w:val="32"/>
        </w:rPr>
        <w:t>4. Recommended Chart Types</w:t>
      </w:r>
    </w:p>
    <w:p>
      <w:pPr>
        <w:pStyle w:val="Heading2"/>
        <w:spacing w:before="240" w:after="120"/>
      </w:pPr>
      <w:r>
        <w:rPr>
          <w:rFonts w:ascii="Times New Roman" w:hAnsi="Times New Roman" w:eastAsia="Times New Roman"/>
          <w:color w:val="000000"/>
          <w:sz w:val="28"/>
        </w:rPr>
        <w:t>4.1 Frequency Analysis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Bar charts for categorical frequency distributions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Horizontal bars when category labels are long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Include data labels for exact values</w:t>
      </w:r>
    </w:p>
    <w:p>
      <w:pPr>
        <w:pStyle w:val="Heading2"/>
        <w:spacing w:before="240" w:after="120"/>
      </w:pPr>
      <w:r>
        <w:rPr>
          <w:rFonts w:ascii="Times New Roman" w:hAnsi="Times New Roman" w:eastAsia="Times New Roman"/>
          <w:color w:val="000000"/>
          <w:sz w:val="28"/>
        </w:rPr>
        <w:t>4.2 Relationship Analysis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Heatmaps for correlation or co-occurrence matrices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Scatter plots for continuous variable relationships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Network diagrams for complex relationships</w:t>
      </w:r>
    </w:p>
    <w:p>
      <w:pPr>
        <w:pStyle w:val="Heading2"/>
        <w:spacing w:before="240" w:after="120"/>
      </w:pPr>
      <w:r>
        <w:rPr>
          <w:rFonts w:ascii="Times New Roman" w:hAnsi="Times New Roman" w:eastAsia="Times New Roman"/>
          <w:color w:val="000000"/>
          <w:sz w:val="28"/>
        </w:rPr>
        <w:t>4.3 Distribution Analysis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Histograms for continuous distributions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Box plots for comparing distributions across groups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Violin plots for detailed distribution shapes</w:t>
      </w:r>
    </w:p>
    <w:p>
      <w:pPr>
        <w:pStyle w:val="Heading2"/>
        <w:spacing w:before="240" w:after="120"/>
      </w:pPr>
      <w:r>
        <w:rPr>
          <w:rFonts w:ascii="Times New Roman" w:hAnsi="Times New Roman" w:eastAsia="Times New Roman"/>
          <w:color w:val="000000"/>
          <w:sz w:val="28"/>
        </w:rPr>
        <w:t>4.4 Trend Analysis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Line charts for time series data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Area charts for cumulative trends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Include confidence intervals where appropriate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color w:val="000000"/>
          <w:sz w:val="32"/>
        </w:rPr>
        <w:t>5. Table Formatting Standards</w:t>
      </w:r>
    </w:p>
    <w:p>
      <w:pPr>
        <w:pStyle w:val="Heading2"/>
        <w:spacing w:before="240" w:after="120"/>
      </w:pPr>
      <w:r>
        <w:rPr>
          <w:rFonts w:ascii="Times New Roman" w:hAnsi="Times New Roman" w:eastAsia="Times New Roman"/>
          <w:color w:val="000000"/>
          <w:sz w:val="28"/>
        </w:rPr>
        <w:t>5.1 General Guidelines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Use header row with distinct background color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Align text left, numbers right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Use consistent decimal places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Include units in column headers</w:t>
      </w:r>
    </w:p>
    <w:p>
      <w:pPr>
        <w:pStyle w:val="Heading2"/>
        <w:spacing w:before="240" w:after="120"/>
      </w:pPr>
      <w:r>
        <w:rPr>
          <w:rFonts w:ascii="Times New Roman" w:hAnsi="Times New Roman" w:eastAsia="Times New Roman"/>
          <w:color w:val="000000"/>
          <w:sz w:val="28"/>
        </w:rPr>
        <w:t>5.2 Numeric Formatting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Type</w:t>
            </w:r>
          </w:p>
        </w:tc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Example</w:t>
            </w:r>
          </w:p>
        </w:tc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Format Rule</w:t>
            </w:r>
          </w:p>
        </w:tc>
      </w:tr>
      <w:tr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Counts</w:t>
            </w:r>
          </w:p>
        </w:tc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1,234</w:t>
            </w:r>
          </w:p>
        </w:tc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Thousands separator, no decimals</w:t>
            </w:r>
          </w:p>
        </w:tc>
      </w:tr>
      <w:tr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Percentages</w:t>
            </w:r>
          </w:p>
        </w:tc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45.6%</w:t>
            </w:r>
          </w:p>
        </w:tc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One decimal place</w:t>
            </w:r>
          </w:p>
        </w:tc>
      </w:tr>
      <w:tr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Decimals</w:t>
            </w:r>
          </w:p>
        </w:tc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0.123</w:t>
            </w:r>
          </w:p>
        </w:tc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Three significant figures</w:t>
            </w:r>
          </w:p>
        </w:tc>
      </w:tr>
      <w:tr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Large Numbers</w:t>
            </w:r>
          </w:p>
        </w:tc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1.2M</w:t>
            </w:r>
          </w:p>
        </w:tc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Abbreviate with suffix</w:t>
            </w:r>
          </w:p>
        </w:tc>
      </w:tr>
      <w:tr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Currency</w:t>
            </w:r>
          </w:p>
        </w:tc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$1,234.56</w:t>
            </w:r>
          </w:p>
        </w:tc>
        <w:tc>
          <w:tcPr>
            <w:tcW w:type="dxa" w:w="336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Symbol, two decimals</w:t>
            </w:r>
          </w:p>
        </w:tc>
      </w:tr>
    </w:tbl>
    <w:p>
      <w:pPr>
        <w:pStyle w:val="Heading1"/>
        <w:spacing w:before="240" w:after="120"/>
      </w:pPr>
      <w:r>
        <w:rPr>
          <w:rFonts w:ascii="Times New Roman" w:hAnsi="Times New Roman" w:eastAsia="Times New Roman"/>
          <w:color w:val="000000"/>
          <w:sz w:val="32"/>
        </w:rPr>
        <w:t>6. Accessibility Guidelines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Ensure sufficient color contrast (WCAG 2.1 AA minimum)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Do not rely solely on color to convey information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Provide alt text for all images and charts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Use patterns or shapes in addition to colors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Ensure text is readable at standard zoom levels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Test visualizations with colorblind simulation tools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color w:val="000000"/>
          <w:sz w:val="32"/>
        </w:rPr>
        <w:t>7. Export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Medium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Resolution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Color Space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Format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Print/PDF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300 DPI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CMYK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Vector (PDF) preferred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Web/Screen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72-96 DPI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RGB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PNG for static, SVG for scalable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Presentation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150 DPI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RGB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PNG or embedded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Raw Data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N/A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N/A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CSV or Excel</w:t>
            </w:r>
          </w:p>
        </w:tc>
      </w:tr>
    </w:tbl>
    <w:p>
      <w:pPr>
        <w:pStyle w:val="Heading1"/>
        <w:spacing w:before="240" w:after="120"/>
      </w:pPr>
      <w:r>
        <w:rPr>
          <w:rFonts w:ascii="Times New Roman" w:hAnsi="Times New Roman" w:eastAsia="Times New Roman"/>
          <w:color w:val="000000"/>
          <w:sz w:val="32"/>
        </w:rPr>
        <w:t>8. Standard Report Structure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All analysis reports should follow this structure: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1. Executive Summary (1 page maximum)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2. Introduction and Objectives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3. Methodology Overview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4. Key Findings (with visualizations)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5. Detailed Results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6. Limitations and Considerations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7. Conclusions and Recommendations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8. Appendices (technical details, raw data)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