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240" w:after="240" w:lineRule="exact" w:line="360"/>
        <w:jc w:val="left"/>
      </w:pPr>
      <w:r>
        <w:rPr>
          <w:rFonts w:ascii="Times New Roman" w:hAnsi="Times New Roman"/>
          <w:b/>
          <w:color w:val="000000"/>
          <w:sz w:val="56"/>
        </w:rPr>
        <w:t>Benchmark Standards for Open-Ended Coding Analysis</w:t>
      </w:r>
    </w:p>
    <w:p>
      <w:pPr>
        <w:spacing w:lineRule="exact" w:line="360"/>
        <w:jc w:val="left"/>
      </w:pPr>
      <w:r>
        <w:rPr>
          <w:rFonts w:ascii="Times New Roman" w:hAnsi="Times New Roman"/>
          <w:i/>
          <w:color w:val="000000"/>
          <w:sz w:val="28"/>
        </w:rPr>
        <w:t>Gold-Standard Outputs and Authoritative References</w:t>
      </w:r>
    </w:p>
    <w:p>
      <w:pPr>
        <w:spacing w:lineRule="exact" w:line="360"/>
        <w:jc w:val="left"/>
      </w:pPr>
    </w:p>
    <w:p>
      <w:pPr>
        <w:spacing w:lineRule="exact" w:line="360"/>
        <w:jc w:val="left"/>
      </w:pPr>
      <w:r>
        <w:rPr>
          <w:rFonts w:ascii="Times New Roman" w:hAnsi="Times New Roman"/>
          <w:color w:val="000000"/>
          <w:sz w:val="22"/>
        </w:rPr>
        <w:t>Document Version: December 22, 2025</w:t>
      </w:r>
    </w:p>
    <w:p>
      <w:pPr>
        <w:spacing w:lineRule="exact" w:line="360"/>
        <w:jc w:val="left"/>
      </w:pPr>
    </w:p>
    <w:p>
      <w:pPr>
        <w:pStyle w:val="Heading1"/>
        <w:spacing w:lineRule="exact" w:line="360" w:before="240" w:after="120"/>
        <w:jc w:val="left"/>
      </w:pPr>
      <w:r>
        <w:rPr>
          <w:rFonts w:ascii="Times New Roman" w:hAnsi="Times New Roman"/>
          <w:b/>
          <w:color w:val="000000"/>
          <w:sz w:val="32"/>
        </w:rPr>
        <w:t>1. Introduction</w:t>
      </w:r>
    </w:p>
    <w:p>
      <w:pPr>
        <w:spacing w:lineRule="exact" w:line="360"/>
        <w:jc w:val="left"/>
      </w:pPr>
      <w:r>
        <w:rPr>
          <w:rFonts w:ascii="Times New Roman" w:hAnsi="Times New Roman"/>
          <w:color w:val="000000"/>
          <w:sz w:val="24"/>
        </w:rPr>
        <w:t>This document establishes benchmark standards for evaluating the performance and validity of open-ended coding analysis techniques implemented in the JC-OE-Coding framework. These standards are based on peer-reviewed research, established qualitative and quantitative methodologies, and industry-recognized best practices in natural language processing and thematic analysis.</w:t>
      </w:r>
    </w:p>
    <w:p>
      <w:pPr>
        <w:spacing w:lineRule="exact" w:line="360"/>
        <w:jc w:val="left"/>
      </w:pPr>
    </w:p>
    <w:p>
      <w:pPr>
        <w:pStyle w:val="Heading1"/>
        <w:spacing w:lineRule="exact" w:line="360" w:before="240" w:after="120"/>
        <w:jc w:val="left"/>
      </w:pPr>
      <w:r>
        <w:rPr>
          <w:rFonts w:ascii="Times New Roman" w:hAnsi="Times New Roman"/>
          <w:b/>
          <w:color w:val="000000"/>
          <w:sz w:val="32"/>
        </w:rPr>
        <w:t>2. Machine Learning Techniques</w:t>
      </w:r>
    </w:p>
    <w:p>
      <w:pPr>
        <w:pStyle w:val="Heading2"/>
        <w:spacing w:lineRule="exact" w:line="360" w:before="180" w:after="100"/>
        <w:jc w:val="left"/>
      </w:pPr>
      <w:r>
        <w:rPr>
          <w:rFonts w:ascii="Times New Roman" w:hAnsi="Times New Roman"/>
          <w:b/>
          <w:color w:val="000000"/>
          <w:sz w:val="28"/>
        </w:rPr>
        <w:t>2.1 TF-IDF with K-Means Clustering</w:t>
      </w:r>
    </w:p>
    <w:p>
      <w:pPr>
        <w:spacing w:lineRule="exact" w:line="36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Description: </w:t>
      </w:r>
      <w:r>
        <w:rPr>
          <w:rFonts w:ascii="Times New Roman" w:hAnsi="Times New Roman"/>
          <w:color w:val="000000"/>
          <w:sz w:val="24"/>
        </w:rPr>
        <w:t>Term Frequency-Inverse Document Frequency (TF-IDF) vectorization combined with K-Means clustering for automatic theme discovery in qualitative data.</w:t>
      </w:r>
    </w:p>
    <w:p>
      <w:pPr>
        <w:spacing w:lineRule="exact" w:line="360"/>
        <w:jc w:val="left"/>
      </w:pPr>
      <w:r>
        <w:rPr>
          <w:rFonts w:ascii="Times New Roman" w:hAnsi="Times New Roman"/>
          <w:b/>
          <w:color w:val="000000"/>
          <w:sz w:val="24"/>
        </w:rPr>
        <w:t>Gold-Standard Outputs: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Silhouette Score: Values between 0.25-0.50 indicate reasonable cluster separation for text data (Rousseeuw, 1987)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Davies-Bouldin Index: Lower values (&lt; 1.5) indicate better cluster separation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Calinski-Harabasz Score: Higher values indicate better-defined clusters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Inertia/Within-cluster sum of squares: Should show clear elbow point for optimal k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Cluster coherence: Each cluster should contain semantically related documents</w:t>
      </w:r>
    </w:p>
    <w:p>
      <w:pPr>
        <w:spacing w:lineRule="exact" w:line="360"/>
        <w:jc w:val="left"/>
      </w:pPr>
      <w:r>
        <w:rPr>
          <w:rFonts w:ascii="Times New Roman" w:hAnsi="Times New Roman"/>
          <w:b/>
          <w:color w:val="000000"/>
          <w:sz w:val="24"/>
        </w:rPr>
        <w:t>Authoritative References: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Salton, G., &amp; Buckley, C. (1988). Term-weighting approaches in automatic text retrieval. Information Processing &amp; Management, 24(5), 513-523.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MacQueen, J. (1967). Some methods for classification and analysis of multivariate observations. Proceedings of the Fifth Berkeley Symposium on Mathematical Statistics and Probability, 1(14), 281-297.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Rousseeuw, P. J. (1987). Silhouettes: A graphical aid to the interpretation and validation of cluster analysis. Journal of Computational and Applied Mathematics, 20, 53-65.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Steinbach, M., Karypis, G., &amp; Kumar, V. (2000). A comparison of document clustering techniques. KDD Workshop on Text Mining, 400(1), 525-526.</w:t>
      </w:r>
    </w:p>
    <w:p>
      <w:pPr>
        <w:spacing w:lineRule="exact" w:line="360"/>
        <w:jc w:val="left"/>
      </w:pPr>
    </w:p>
    <w:p>
      <w:pPr>
        <w:pStyle w:val="Heading2"/>
        <w:spacing w:lineRule="exact" w:line="360" w:before="180" w:after="100"/>
        <w:jc w:val="left"/>
      </w:pPr>
      <w:r>
        <w:rPr>
          <w:rFonts w:ascii="Times New Roman" w:hAnsi="Times New Roman"/>
          <w:b/>
          <w:color w:val="000000"/>
          <w:sz w:val="28"/>
        </w:rPr>
        <w:t>2.2 Latent Dirichlet Allocation (LDA)</w:t>
      </w:r>
    </w:p>
    <w:p>
      <w:pPr>
        <w:spacing w:lineRule="exact" w:line="36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Description: </w:t>
      </w:r>
      <w:r>
        <w:rPr>
          <w:rFonts w:ascii="Times New Roman" w:hAnsi="Times New Roman"/>
          <w:color w:val="000000"/>
          <w:sz w:val="24"/>
        </w:rPr>
        <w:t>Probabilistic generative model for discovering latent topics in text collections, treating documents as mixtures of topics and topics as distributions over words.</w:t>
      </w:r>
    </w:p>
    <w:p>
      <w:pPr>
        <w:spacing w:lineRule="exact" w:line="360"/>
        <w:jc w:val="left"/>
      </w:pPr>
      <w:r>
        <w:rPr>
          <w:rFonts w:ascii="Times New Roman" w:hAnsi="Times New Roman"/>
          <w:b/>
          <w:color w:val="000000"/>
          <w:sz w:val="24"/>
        </w:rPr>
        <w:t>Gold-Standard Outputs: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Perplexity: Lower values indicate better generalization (typical range: 500-2000 for moderate-sized corpora)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Topic Coherence (C_v): Values &gt; 0.50 indicate coherent topics (Roder et al., 2015)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Log-likelihood: Should increase monotonically during training convergence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Topic distinctiveness: Minimal overlap between top-10 words across topics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Document-topic distributions: Should be sparse with most documents dominated by 1-3 topics</w:t>
      </w:r>
    </w:p>
    <w:p>
      <w:pPr>
        <w:spacing w:lineRule="exact" w:line="360"/>
        <w:jc w:val="left"/>
      </w:pPr>
      <w:r>
        <w:rPr>
          <w:rFonts w:ascii="Times New Roman" w:hAnsi="Times New Roman"/>
          <w:b/>
          <w:color w:val="000000"/>
          <w:sz w:val="24"/>
        </w:rPr>
        <w:t>Authoritative References: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Blei, D. M., Ng, A. Y., &amp; Jordan, M. I. (2003). Latent Dirichlet allocation. Journal of Machine Learning Research, 3, 993-1022.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Griffiths, T. L., &amp; Steyvers, M. (2004). Finding scientific topics. Proceedings of the National Academy of Sciences, 101(suppl 1), 5228-5235.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Roder, M., Both, A., &amp; Hinneburg, A. (2015). Exploring the space of topic coherence measures. WSDM 2015, 399-408.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Newman, D., Lau, J. H., Grieser, K., &amp; Baldwin, T. (2010). Automatic evaluation of topic coherence. Human Language Technologies: The 2010 Annual Conference of the North American Chapter of the ACL, 100-108.</w:t>
      </w:r>
    </w:p>
    <w:p>
      <w:pPr>
        <w:spacing w:lineRule="exact" w:line="360"/>
        <w:jc w:val="left"/>
      </w:pPr>
    </w:p>
    <w:p>
      <w:pPr>
        <w:pStyle w:val="Heading2"/>
        <w:spacing w:lineRule="exact" w:line="360" w:before="180" w:after="100"/>
        <w:jc w:val="left"/>
      </w:pPr>
      <w:r>
        <w:rPr>
          <w:rFonts w:ascii="Times New Roman" w:hAnsi="Times New Roman"/>
          <w:b/>
          <w:color w:val="000000"/>
          <w:sz w:val="28"/>
        </w:rPr>
        <w:t>2.3 Non-negative Matrix Factorization (NMF)</w:t>
      </w:r>
    </w:p>
    <w:p>
      <w:pPr>
        <w:spacing w:lineRule="exact" w:line="36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Description: </w:t>
      </w:r>
      <w:r>
        <w:rPr>
          <w:rFonts w:ascii="Times New Roman" w:hAnsi="Times New Roman"/>
          <w:color w:val="000000"/>
          <w:sz w:val="24"/>
        </w:rPr>
        <w:t>Parts-based decomposition method that factors the document-term matrix into non-negative basis vectors (topics) and coefficients, providing interpretable additive components.</w:t>
      </w:r>
    </w:p>
    <w:p>
      <w:pPr>
        <w:spacing w:lineRule="exact" w:line="360"/>
        <w:jc w:val="left"/>
      </w:pPr>
      <w:r>
        <w:rPr>
          <w:rFonts w:ascii="Times New Roman" w:hAnsi="Times New Roman"/>
          <w:b/>
          <w:color w:val="000000"/>
          <w:sz w:val="24"/>
        </w:rPr>
        <w:t>Gold-Standard Outputs: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Reconstruction Error: Should decrease consistently during optimization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Frobenius Norm: Lower values indicate better factorization quality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Sparsity: Higher sparsity (60-80%) in coefficient matrix indicates clearer topic assignments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Topic interpretability: Top terms should be semantically coherent and distinctive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Stability: Multiple runs with different initializations should yield similar topics</w:t>
      </w:r>
    </w:p>
    <w:p>
      <w:pPr>
        <w:spacing w:lineRule="exact" w:line="360"/>
        <w:jc w:val="left"/>
      </w:pPr>
      <w:r>
        <w:rPr>
          <w:rFonts w:ascii="Times New Roman" w:hAnsi="Times New Roman"/>
          <w:b/>
          <w:color w:val="000000"/>
          <w:sz w:val="24"/>
        </w:rPr>
        <w:t>Authoritative References: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Lee, D. D., &amp; Seung, H. S. (1999). Learning the parts of objects by non-negative matrix factorization. Nature, 401(6755), 788-791.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Xu, W., Liu, X., &amp; Gong, Y. (2003). Document clustering based on non-negative matrix factorization. SIGIR 2003, 267-273.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Arora, S., Ge, R., Halpern, Y., Mimno, D., Moitra, A., Sontag, D., Wu, Y., &amp; Zhu, M. (2013). A practical algorithm for topic modeling with provable guarantees. ICML 2013, 280-288.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Stevens, K., Kegelmeyer, P., Andrzejewski, D., &amp; Buttler, D. (2012). Exploring topic coherence over many models and many topics. EMNLP-CoNLL 2012, 952-961.</w:t>
      </w:r>
    </w:p>
    <w:p>
      <w:pPr>
        <w:spacing w:lineRule="exact" w:line="360"/>
        <w:jc w:val="left"/>
      </w:pPr>
    </w:p>
    <w:p>
      <w:pPr>
        <w:pStyle w:val="Heading1"/>
        <w:spacing w:lineRule="exact" w:line="360" w:before="240" w:after="120"/>
        <w:jc w:val="left"/>
      </w:pPr>
      <w:r>
        <w:rPr>
          <w:rFonts w:ascii="Times New Roman" w:hAnsi="Times New Roman"/>
          <w:b/>
          <w:color w:val="000000"/>
          <w:sz w:val="32"/>
        </w:rPr>
        <w:t>3. Qualitative Coding Techniques</w:t>
      </w:r>
    </w:p>
    <w:p>
      <w:pPr>
        <w:pStyle w:val="Heading2"/>
        <w:spacing w:lineRule="exact" w:line="360" w:before="180" w:after="100"/>
        <w:jc w:val="left"/>
      </w:pPr>
      <w:r>
        <w:rPr>
          <w:rFonts w:ascii="Times New Roman" w:hAnsi="Times New Roman"/>
          <w:b/>
          <w:color w:val="000000"/>
          <w:sz w:val="28"/>
        </w:rPr>
        <w:t>3.1 Traditional Keyword-Based Coding</w:t>
      </w:r>
    </w:p>
    <w:p>
      <w:pPr>
        <w:spacing w:lineRule="exact" w:line="36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Description: </w:t>
      </w:r>
      <w:r>
        <w:rPr>
          <w:rFonts w:ascii="Times New Roman" w:hAnsi="Times New Roman"/>
          <w:color w:val="000000"/>
          <w:sz w:val="24"/>
        </w:rPr>
        <w:t>Systematic application of predefined code frames with keyword matching for identifying themes in qualitative data, following established grounded theory and thematic analysis methodologies.</w:t>
      </w:r>
    </w:p>
    <w:p>
      <w:pPr>
        <w:spacing w:lineRule="exact" w:line="360"/>
        <w:jc w:val="left"/>
      </w:pPr>
      <w:r>
        <w:rPr>
          <w:rFonts w:ascii="Times New Roman" w:hAnsi="Times New Roman"/>
          <w:b/>
          <w:color w:val="000000"/>
          <w:sz w:val="24"/>
        </w:rPr>
        <w:t>Gold-Standard Outputs: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Intercoder Reliability (Cohen's Kappa): Values &gt; 0.70 indicate substantial agreement (Landis &amp; Koch, 1977)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Krippendorff's Alpha: Values &gt; 0.80 considered reliable for drawing definitive conclusions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Code coverage: Minimum 80% of responses should be coded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Code saturation: New codes should cease emerging after analyzing 80-90% of data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Code hierarchy: Clear hierarchical structure with 3-7 main themes and subcodes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Code definition quality: Each code has clear inclusion/exclusion criteria and examples</w:t>
      </w:r>
    </w:p>
    <w:p>
      <w:pPr>
        <w:spacing w:lineRule="exact" w:line="360"/>
        <w:jc w:val="left"/>
      </w:pPr>
      <w:r>
        <w:rPr>
          <w:rFonts w:ascii="Times New Roman" w:hAnsi="Times New Roman"/>
          <w:b/>
          <w:color w:val="000000"/>
          <w:sz w:val="24"/>
        </w:rPr>
        <w:t>Authoritative References: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Strauss, A., &amp; Corbin, J. (1998). Basics of qualitative research: Techniques and procedures for developing grounded theory (2nd ed.). Sage Publications.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Braun, V., &amp; Clarke, V. (2006). Using thematic analysis in psychology. Qualitative Research in Psychology, 3(2), 77-101.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Landis, J. R., &amp; Koch, G. G. (1977). The measurement of observer agreement for categorical data. Biometrics, 33(1), 159-174.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Krippendorff, K. (2004). Content analysis: An introduction to its methodology (2nd ed.). Sage Publications.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Saldana, J. (2015). The coding manual for qualitative researchers (3rd ed.). Sage Publications.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Guest, G., MacQueen, K. M., &amp; Namey, E. E. (2011). Applied thematic analysis. Sage Publications.</w:t>
      </w:r>
    </w:p>
    <w:p>
      <w:pPr>
        <w:spacing w:lineRule="exact" w:line="360"/>
        <w:jc w:val="left"/>
      </w:pPr>
    </w:p>
    <w:p>
      <w:pPr>
        <w:pStyle w:val="Heading1"/>
        <w:spacing w:lineRule="exact" w:line="360" w:before="240" w:after="120"/>
        <w:jc w:val="left"/>
      </w:pPr>
      <w:r>
        <w:rPr>
          <w:rFonts w:ascii="Times New Roman" w:hAnsi="Times New Roman"/>
          <w:b/>
          <w:color w:val="000000"/>
          <w:sz w:val="32"/>
        </w:rPr>
        <w:t>4. Essential Output Standards</w:t>
      </w:r>
    </w:p>
    <w:p>
      <w:pPr>
        <w:spacing w:lineRule="exact" w:line="360"/>
        <w:jc w:val="left"/>
      </w:pPr>
      <w:r>
        <w:rPr>
          <w:rFonts w:ascii="Times New Roman" w:hAnsi="Times New Roman"/>
          <w:color w:val="000000"/>
          <w:sz w:val="24"/>
        </w:rPr>
        <w:t>The framework produces 15 essential outputs for comprehensive qualitative analysis. Each output has specific quality benchmarks based on established research methodologies and industry standards.</w:t>
      </w:r>
    </w:p>
    <w:p>
      <w:pPr>
        <w:spacing w:lineRule="exact" w:line="360"/>
        <w:jc w:val="left"/>
      </w:pPr>
    </w:p>
    <w:p>
      <w:pPr>
        <w:pStyle w:val="Heading2"/>
        <w:spacing w:lineRule="exact" w:line="360" w:before="180" w:after="100"/>
        <w:jc w:val="left"/>
      </w:pPr>
      <w:r>
        <w:rPr>
          <w:rFonts w:ascii="Times New Roman" w:hAnsi="Times New Roman"/>
          <w:b/>
          <w:color w:val="000000"/>
          <w:sz w:val="28"/>
        </w:rPr>
        <w:t>4.1 Code Assignments</w:t>
      </w:r>
    </w:p>
    <w:p>
      <w:pPr>
        <w:spacing w:lineRule="exact" w:line="36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Benchmark Standard: </w:t>
      </w:r>
      <w:r>
        <w:rPr>
          <w:rFonts w:ascii="Times New Roman" w:hAnsi="Times New Roman"/>
          <w:color w:val="000000"/>
          <w:sz w:val="24"/>
        </w:rPr>
        <w:t>Minimum 80% coverage with confidence scores &gt; 0.30 for multi-label assignments. Each assignment should include probabilistic confidence measures.</w:t>
      </w:r>
    </w:p>
    <w:p>
      <w:pPr>
        <w:spacing w:lineRule="exact" w:line="360"/>
        <w:jc w:val="left"/>
      </w:pPr>
      <w:r>
        <w:rPr>
          <w:rFonts w:ascii="Times New Roman" w:hAnsi="Times New Roman"/>
          <w:b/>
          <w:color w:val="000000"/>
          <w:sz w:val="22"/>
        </w:rPr>
        <w:t xml:space="preserve">Reference: </w:t>
      </w:r>
      <w:r>
        <w:rPr>
          <w:rFonts w:ascii="Times New Roman" w:hAnsi="Times New Roman"/>
          <w:color w:val="000000"/>
          <w:sz w:val="22"/>
        </w:rPr>
        <w:t>Read, J., Pfahringer, B., Holmes, G., &amp; Frank, E. (2011). Classifier chains for multi-label classification. Machine Learning, 85(3), 333-359.</w:t>
      </w:r>
    </w:p>
    <w:p>
      <w:pPr>
        <w:spacing w:lineRule="exact" w:line="360"/>
        <w:jc w:val="left"/>
      </w:pPr>
    </w:p>
    <w:p>
      <w:pPr>
        <w:pStyle w:val="Heading2"/>
        <w:spacing w:lineRule="exact" w:line="360" w:before="180" w:after="100"/>
        <w:jc w:val="left"/>
      </w:pPr>
      <w:r>
        <w:rPr>
          <w:rFonts w:ascii="Times New Roman" w:hAnsi="Times New Roman"/>
          <w:b/>
          <w:color w:val="000000"/>
          <w:sz w:val="28"/>
        </w:rPr>
        <w:t>4.2 Codebook/Code Frame</w:t>
      </w:r>
    </w:p>
    <w:p>
      <w:pPr>
        <w:spacing w:lineRule="exact" w:line="36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Benchmark Standard: </w:t>
      </w:r>
      <w:r>
        <w:rPr>
          <w:rFonts w:ascii="Times New Roman" w:hAnsi="Times New Roman"/>
          <w:color w:val="000000"/>
          <w:sz w:val="24"/>
        </w:rPr>
        <w:t>Clear definitions with 3-5 exemplar quotes per code, keywords list, and operational definitions. Code labels should be concise (2-5 words) and mutually exclusive where possible.</w:t>
      </w:r>
    </w:p>
    <w:p>
      <w:pPr>
        <w:spacing w:lineRule="exact" w:line="360"/>
        <w:jc w:val="left"/>
      </w:pPr>
      <w:r>
        <w:rPr>
          <w:rFonts w:ascii="Times New Roman" w:hAnsi="Times New Roman"/>
          <w:b/>
          <w:color w:val="000000"/>
          <w:sz w:val="22"/>
        </w:rPr>
        <w:t xml:space="preserve">Reference: </w:t>
      </w:r>
      <w:r>
        <w:rPr>
          <w:rFonts w:ascii="Times New Roman" w:hAnsi="Times New Roman"/>
          <w:color w:val="000000"/>
          <w:sz w:val="22"/>
        </w:rPr>
        <w:t>MacQueen, K. M., McLellan, E., Kay, K., &amp; Milstein, B. (1998). Codebook development for team-based qualitative analysis. CAM Journal, 10(2), 31-36.</w:t>
      </w:r>
    </w:p>
    <w:p>
      <w:pPr>
        <w:spacing w:lineRule="exact" w:line="360"/>
        <w:jc w:val="left"/>
      </w:pPr>
    </w:p>
    <w:p>
      <w:pPr>
        <w:pStyle w:val="Heading2"/>
        <w:spacing w:lineRule="exact" w:line="360" w:before="180" w:after="100"/>
        <w:jc w:val="left"/>
      </w:pPr>
      <w:r>
        <w:rPr>
          <w:rFonts w:ascii="Times New Roman" w:hAnsi="Times New Roman"/>
          <w:b/>
          <w:color w:val="000000"/>
          <w:sz w:val="28"/>
        </w:rPr>
        <w:t>4.3 Code Frequency Tables</w:t>
      </w:r>
    </w:p>
    <w:p>
      <w:pPr>
        <w:spacing w:lineRule="exact" w:line="36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Benchmark Standard: </w:t>
      </w:r>
      <w:r>
        <w:rPr>
          <w:rFonts w:ascii="Times New Roman" w:hAnsi="Times New Roman"/>
          <w:color w:val="000000"/>
          <w:sz w:val="24"/>
        </w:rPr>
        <w:t>Frequencies with percentages, rank ordering, and statistical measures (mean, median, mode). No single code should dominate &gt; 50% of responses unless theoretically justified.</w:t>
      </w:r>
    </w:p>
    <w:p>
      <w:pPr>
        <w:spacing w:lineRule="exact" w:line="360"/>
        <w:jc w:val="left"/>
      </w:pPr>
      <w:r>
        <w:rPr>
          <w:rFonts w:ascii="Times New Roman" w:hAnsi="Times New Roman"/>
          <w:b/>
          <w:color w:val="000000"/>
          <w:sz w:val="22"/>
        </w:rPr>
        <w:t xml:space="preserve">Reference: </w:t>
      </w:r>
      <w:r>
        <w:rPr>
          <w:rFonts w:ascii="Times New Roman" w:hAnsi="Times New Roman"/>
          <w:color w:val="000000"/>
          <w:sz w:val="22"/>
        </w:rPr>
        <w:t>Miles, M. B., Huberman, A. M., &amp; Saldana, J. (2014). Qualitative data analysis: A methods sourcebook (3rd ed.). Sage Publications.</w:t>
      </w:r>
    </w:p>
    <w:p>
      <w:pPr>
        <w:spacing w:lineRule="exact" w:line="360"/>
        <w:jc w:val="left"/>
      </w:pPr>
    </w:p>
    <w:p>
      <w:pPr>
        <w:pStyle w:val="Heading2"/>
        <w:spacing w:lineRule="exact" w:line="360" w:before="180" w:after="100"/>
        <w:jc w:val="left"/>
      </w:pPr>
      <w:r>
        <w:rPr>
          <w:rFonts w:ascii="Times New Roman" w:hAnsi="Times New Roman"/>
          <w:b/>
          <w:color w:val="000000"/>
          <w:sz w:val="28"/>
        </w:rPr>
        <w:t>4.4 Quality and Confidence Metrics</w:t>
      </w:r>
    </w:p>
    <w:p>
      <w:pPr>
        <w:spacing w:lineRule="exact" w:line="36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Benchmark Standard: </w:t>
      </w:r>
      <w:r>
        <w:rPr>
          <w:rFonts w:ascii="Times New Roman" w:hAnsi="Times New Roman"/>
          <w:color w:val="000000"/>
          <w:sz w:val="24"/>
        </w:rPr>
        <w:t>Average confidence &gt; 0.50, standard deviation &lt; 0.25. Include precision, recall, and F1-score where validation data exists.</w:t>
      </w:r>
    </w:p>
    <w:p>
      <w:pPr>
        <w:spacing w:lineRule="exact" w:line="360"/>
        <w:jc w:val="left"/>
      </w:pPr>
      <w:r>
        <w:rPr>
          <w:rFonts w:ascii="Times New Roman" w:hAnsi="Times New Roman"/>
          <w:b/>
          <w:color w:val="000000"/>
          <w:sz w:val="22"/>
        </w:rPr>
        <w:t xml:space="preserve">Reference: </w:t>
      </w:r>
      <w:r>
        <w:rPr>
          <w:rFonts w:ascii="Times New Roman" w:hAnsi="Times New Roman"/>
          <w:color w:val="000000"/>
          <w:sz w:val="22"/>
        </w:rPr>
        <w:t>Fleiss, J. L., Levin, B., &amp; Paik, M. C. (2003). Statistical methods for rates and proportions (3rd ed.). John Wiley &amp; Sons.</w:t>
      </w:r>
    </w:p>
    <w:p>
      <w:pPr>
        <w:spacing w:lineRule="exact" w:line="360"/>
        <w:jc w:val="left"/>
      </w:pPr>
    </w:p>
    <w:p>
      <w:pPr>
        <w:pStyle w:val="Heading2"/>
        <w:spacing w:lineRule="exact" w:line="360" w:before="180" w:after="100"/>
        <w:jc w:val="left"/>
      </w:pPr>
      <w:r>
        <w:rPr>
          <w:rFonts w:ascii="Times New Roman" w:hAnsi="Times New Roman"/>
          <w:b/>
          <w:color w:val="000000"/>
          <w:sz w:val="28"/>
        </w:rPr>
        <w:t>4.5 Binary/Multi-Label Matrix</w:t>
      </w:r>
    </w:p>
    <w:p>
      <w:pPr>
        <w:spacing w:lineRule="exact" w:line="36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Benchmark Standard: </w:t>
      </w:r>
      <w:r>
        <w:rPr>
          <w:rFonts w:ascii="Times New Roman" w:hAnsi="Times New Roman"/>
          <w:color w:val="000000"/>
          <w:sz w:val="24"/>
        </w:rPr>
        <w:t>Sparse matrix representation with documented encoding scheme. Enable statistical analysis including chi-square tests, correlation analysis, and cluster validation.</w:t>
      </w:r>
    </w:p>
    <w:p>
      <w:pPr>
        <w:spacing w:lineRule="exact" w:line="360"/>
        <w:jc w:val="left"/>
      </w:pPr>
      <w:r>
        <w:rPr>
          <w:rFonts w:ascii="Times New Roman" w:hAnsi="Times New Roman"/>
          <w:b/>
          <w:color w:val="000000"/>
          <w:sz w:val="22"/>
        </w:rPr>
        <w:t xml:space="preserve">Reference: </w:t>
      </w:r>
      <w:r>
        <w:rPr>
          <w:rFonts w:ascii="Times New Roman" w:hAnsi="Times New Roman"/>
          <w:color w:val="000000"/>
          <w:sz w:val="22"/>
        </w:rPr>
        <w:t>Tsoumakas, G., &amp; Katakis, I. (2007). Multi-label classification: An overview. International Journal of Data Warehousing and Mining, 3(3), 1-13.</w:t>
      </w:r>
    </w:p>
    <w:p>
      <w:pPr>
        <w:spacing w:lineRule="exact" w:line="360"/>
        <w:jc w:val="left"/>
      </w:pPr>
    </w:p>
    <w:p>
      <w:pPr>
        <w:pStyle w:val="Heading2"/>
        <w:spacing w:lineRule="exact" w:line="360" w:before="180" w:after="100"/>
        <w:jc w:val="left"/>
      </w:pPr>
      <w:r>
        <w:rPr>
          <w:rFonts w:ascii="Times New Roman" w:hAnsi="Times New Roman"/>
          <w:b/>
          <w:color w:val="000000"/>
          <w:sz w:val="28"/>
        </w:rPr>
        <w:t>4.6 Representative Quotes</w:t>
      </w:r>
    </w:p>
    <w:p>
      <w:pPr>
        <w:spacing w:lineRule="exact" w:line="36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Benchmark Standard: </w:t>
      </w:r>
      <w:r>
        <w:rPr>
          <w:rFonts w:ascii="Times New Roman" w:hAnsi="Times New Roman"/>
          <w:color w:val="000000"/>
          <w:sz w:val="24"/>
        </w:rPr>
        <w:t>3-5 quotes per code selected based on highest confidence scores and semantic centrality. Quotes should exemplify core characteristics of each theme.</w:t>
      </w:r>
    </w:p>
    <w:p>
      <w:pPr>
        <w:spacing w:lineRule="exact" w:line="360"/>
        <w:jc w:val="left"/>
      </w:pPr>
      <w:r>
        <w:rPr>
          <w:rFonts w:ascii="Times New Roman" w:hAnsi="Times New Roman"/>
          <w:b/>
          <w:color w:val="000000"/>
          <w:sz w:val="22"/>
        </w:rPr>
        <w:t xml:space="preserve">Reference: </w:t>
      </w:r>
      <w:r>
        <w:rPr>
          <w:rFonts w:ascii="Times New Roman" w:hAnsi="Times New Roman"/>
          <w:color w:val="000000"/>
          <w:sz w:val="22"/>
        </w:rPr>
        <w:t>Sandelowski, M. (1994). The use of quotes in qualitative research. Research in Nursing &amp; Health, 17(6), 479-482.</w:t>
      </w:r>
    </w:p>
    <w:p>
      <w:pPr>
        <w:spacing w:lineRule="exact" w:line="360"/>
        <w:jc w:val="left"/>
      </w:pPr>
    </w:p>
    <w:p>
      <w:pPr>
        <w:pStyle w:val="Heading2"/>
        <w:spacing w:lineRule="exact" w:line="360" w:before="180" w:after="100"/>
        <w:jc w:val="left"/>
      </w:pPr>
      <w:r>
        <w:rPr>
          <w:rFonts w:ascii="Times New Roman" w:hAnsi="Times New Roman"/>
          <w:b/>
          <w:color w:val="000000"/>
          <w:sz w:val="28"/>
        </w:rPr>
        <w:t>4.7 Co-occurrence Analysis</w:t>
      </w:r>
    </w:p>
    <w:p>
      <w:pPr>
        <w:spacing w:lineRule="exact" w:line="36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Benchmark Standard: </w:t>
      </w:r>
      <w:r>
        <w:rPr>
          <w:rFonts w:ascii="Times New Roman" w:hAnsi="Times New Roman"/>
          <w:color w:val="000000"/>
          <w:sz w:val="24"/>
        </w:rPr>
        <w:t>Statistical significance testing (p &lt; 0.05) for code pairs. Report lift and confidence measures for association rules. Minimum support threshold of 2% recommended.</w:t>
      </w:r>
    </w:p>
    <w:p>
      <w:pPr>
        <w:spacing w:lineRule="exact" w:line="360"/>
        <w:jc w:val="left"/>
      </w:pPr>
      <w:r>
        <w:rPr>
          <w:rFonts w:ascii="Times New Roman" w:hAnsi="Times New Roman"/>
          <w:b/>
          <w:color w:val="000000"/>
          <w:sz w:val="22"/>
        </w:rPr>
        <w:t xml:space="preserve">Reference: </w:t>
      </w:r>
      <w:r>
        <w:rPr>
          <w:rFonts w:ascii="Times New Roman" w:hAnsi="Times New Roman"/>
          <w:color w:val="000000"/>
          <w:sz w:val="22"/>
        </w:rPr>
        <w:t>Agrawal, R., &amp; Srikant, R. (1994). Fast algorithms for mining association rules. VLDB 1994, 487-499.</w:t>
      </w:r>
    </w:p>
    <w:p>
      <w:pPr>
        <w:spacing w:lineRule="exact" w:line="360"/>
        <w:jc w:val="left"/>
      </w:pPr>
    </w:p>
    <w:p>
      <w:pPr>
        <w:pStyle w:val="Heading2"/>
        <w:spacing w:lineRule="exact" w:line="360" w:before="180" w:after="100"/>
        <w:jc w:val="left"/>
      </w:pPr>
      <w:r>
        <w:rPr>
          <w:rFonts w:ascii="Times New Roman" w:hAnsi="Times New Roman"/>
          <w:b/>
          <w:color w:val="000000"/>
          <w:sz w:val="28"/>
        </w:rPr>
        <w:t>4.8 Descriptive Statistics</w:t>
      </w:r>
    </w:p>
    <w:p>
      <w:pPr>
        <w:spacing w:lineRule="exact" w:line="36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Benchmark Standard: </w:t>
      </w:r>
      <w:r>
        <w:rPr>
          <w:rFonts w:ascii="Times New Roman" w:hAnsi="Times New Roman"/>
          <w:color w:val="000000"/>
          <w:sz w:val="24"/>
        </w:rPr>
        <w:t>Complete summary statistics including measures of central tendency, dispersion, and distribution shape. Report skewness and kurtosis for code frequency distributions.</w:t>
      </w:r>
    </w:p>
    <w:p>
      <w:pPr>
        <w:spacing w:lineRule="exact" w:line="360"/>
        <w:jc w:val="left"/>
      </w:pPr>
      <w:r>
        <w:rPr>
          <w:rFonts w:ascii="Times New Roman" w:hAnsi="Times New Roman"/>
          <w:b/>
          <w:color w:val="000000"/>
          <w:sz w:val="22"/>
        </w:rPr>
        <w:t xml:space="preserve">Reference: </w:t>
      </w:r>
      <w:r>
        <w:rPr>
          <w:rFonts w:ascii="Times New Roman" w:hAnsi="Times New Roman"/>
          <w:color w:val="000000"/>
          <w:sz w:val="22"/>
        </w:rPr>
        <w:t>Tabachnick, B. G., &amp; Fidell, L. S. (2013). Using multivariate statistics (6th ed.). Pearson.</w:t>
      </w:r>
    </w:p>
    <w:p>
      <w:pPr>
        <w:spacing w:lineRule="exact" w:line="360"/>
        <w:jc w:val="left"/>
      </w:pPr>
    </w:p>
    <w:p>
      <w:pPr>
        <w:pStyle w:val="Heading2"/>
        <w:spacing w:lineRule="exact" w:line="360" w:before="180" w:after="100"/>
        <w:jc w:val="left"/>
      </w:pPr>
      <w:r>
        <w:rPr>
          <w:rFonts w:ascii="Times New Roman" w:hAnsi="Times New Roman"/>
          <w:b/>
          <w:color w:val="000000"/>
          <w:sz w:val="28"/>
        </w:rPr>
        <w:t>4.9 Segmentation Analysis</w:t>
      </w:r>
    </w:p>
    <w:p>
      <w:pPr>
        <w:spacing w:lineRule="exact" w:line="36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Benchmark Standard: </w:t>
      </w:r>
      <w:r>
        <w:rPr>
          <w:rFonts w:ascii="Times New Roman" w:hAnsi="Times New Roman"/>
          <w:color w:val="000000"/>
          <w:sz w:val="24"/>
        </w:rPr>
        <w:t>Minimum 30 responses per segment for reliable analysis. Chi-square tests for independence with effect size measures (Cramer's V). Bonferroni correction for multiple comparisons.</w:t>
      </w:r>
    </w:p>
    <w:p>
      <w:pPr>
        <w:spacing w:lineRule="exact" w:line="360"/>
        <w:jc w:val="left"/>
      </w:pPr>
      <w:r>
        <w:rPr>
          <w:rFonts w:ascii="Times New Roman" w:hAnsi="Times New Roman"/>
          <w:b/>
          <w:color w:val="000000"/>
          <w:sz w:val="22"/>
        </w:rPr>
        <w:t xml:space="preserve">Reference: </w:t>
      </w:r>
      <w:r>
        <w:rPr>
          <w:rFonts w:ascii="Times New Roman" w:hAnsi="Times New Roman"/>
          <w:color w:val="000000"/>
          <w:sz w:val="22"/>
        </w:rPr>
        <w:t>Agresti, A. (2018). Statistical methods for the social sciences (5th ed.). Pearson.</w:t>
      </w:r>
    </w:p>
    <w:p>
      <w:pPr>
        <w:spacing w:lineRule="exact" w:line="360"/>
        <w:jc w:val="left"/>
      </w:pPr>
    </w:p>
    <w:p>
      <w:pPr>
        <w:pStyle w:val="Heading2"/>
        <w:spacing w:lineRule="exact" w:line="360" w:before="180" w:after="100"/>
        <w:jc w:val="left"/>
      </w:pPr>
      <w:r>
        <w:rPr>
          <w:rFonts w:ascii="Times New Roman" w:hAnsi="Times New Roman"/>
          <w:b/>
          <w:color w:val="000000"/>
          <w:sz w:val="28"/>
        </w:rPr>
        <w:t>4.10 Quality Assurance Report</w:t>
      </w:r>
    </w:p>
    <w:p>
      <w:pPr>
        <w:spacing w:lineRule="exact" w:line="36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Benchmark Standard: </w:t>
      </w:r>
      <w:r>
        <w:rPr>
          <w:rFonts w:ascii="Times New Roman" w:hAnsi="Times New Roman"/>
          <w:color w:val="000000"/>
          <w:sz w:val="24"/>
        </w:rPr>
        <w:t>Documentation of validation procedures, error analysis, and methodological limitations. Include audit trail of coding decisions and inter-rater reliability where applicable.</w:t>
      </w:r>
    </w:p>
    <w:p>
      <w:pPr>
        <w:spacing w:lineRule="exact" w:line="360"/>
        <w:jc w:val="left"/>
      </w:pPr>
      <w:r>
        <w:rPr>
          <w:rFonts w:ascii="Times New Roman" w:hAnsi="Times New Roman"/>
          <w:b/>
          <w:color w:val="000000"/>
          <w:sz w:val="22"/>
        </w:rPr>
        <w:t xml:space="preserve">Reference: </w:t>
      </w:r>
      <w:r>
        <w:rPr>
          <w:rFonts w:ascii="Times New Roman" w:hAnsi="Times New Roman"/>
          <w:color w:val="000000"/>
          <w:sz w:val="22"/>
        </w:rPr>
        <w:t>Lincoln, Y. S., &amp; Guba, E. G. (1985). Naturalistic inquiry. Sage Publications.</w:t>
      </w:r>
    </w:p>
    <w:p>
      <w:pPr>
        <w:spacing w:lineRule="exact" w:line="360"/>
        <w:jc w:val="left"/>
      </w:pPr>
    </w:p>
    <w:p>
      <w:pPr>
        <w:pStyle w:val="Heading2"/>
        <w:spacing w:lineRule="exact" w:line="360" w:before="180" w:after="100"/>
        <w:jc w:val="left"/>
      </w:pPr>
      <w:r>
        <w:rPr>
          <w:rFonts w:ascii="Times New Roman" w:hAnsi="Times New Roman"/>
          <w:b/>
          <w:color w:val="000000"/>
          <w:sz w:val="28"/>
        </w:rPr>
        <w:t>4.11 Visualizations</w:t>
      </w:r>
    </w:p>
    <w:p>
      <w:pPr>
        <w:spacing w:lineRule="exact" w:line="36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Benchmark Standard: </w:t>
      </w:r>
      <w:r>
        <w:rPr>
          <w:rFonts w:ascii="Times New Roman" w:hAnsi="Times New Roman"/>
          <w:color w:val="000000"/>
          <w:sz w:val="24"/>
        </w:rPr>
        <w:t>Publication-quality graphics following Tufte principles: high data-ink ratio, clear labels, appropriate color schemes for colorblind accessibility, and proper scaling.</w:t>
      </w:r>
    </w:p>
    <w:p>
      <w:pPr>
        <w:spacing w:lineRule="exact" w:line="360"/>
        <w:jc w:val="left"/>
      </w:pPr>
      <w:r>
        <w:rPr>
          <w:rFonts w:ascii="Times New Roman" w:hAnsi="Times New Roman"/>
          <w:b/>
          <w:color w:val="000000"/>
          <w:sz w:val="22"/>
        </w:rPr>
        <w:t xml:space="preserve">Reference: </w:t>
      </w:r>
      <w:r>
        <w:rPr>
          <w:rFonts w:ascii="Times New Roman" w:hAnsi="Times New Roman"/>
          <w:color w:val="000000"/>
          <w:sz w:val="22"/>
        </w:rPr>
        <w:t>Tufte, E. R. (2001). The visual display of quantitative information (2nd ed.). Graphics Press.</w:t>
      </w:r>
    </w:p>
    <w:p>
      <w:pPr>
        <w:spacing w:lineRule="exact" w:line="360"/>
        <w:jc w:val="left"/>
      </w:pPr>
    </w:p>
    <w:p>
      <w:pPr>
        <w:pStyle w:val="Heading2"/>
        <w:spacing w:lineRule="exact" w:line="360" w:before="180" w:after="100"/>
        <w:jc w:val="left"/>
      </w:pPr>
      <w:r>
        <w:rPr>
          <w:rFonts w:ascii="Times New Roman" w:hAnsi="Times New Roman"/>
          <w:b/>
          <w:color w:val="000000"/>
          <w:sz w:val="28"/>
        </w:rPr>
        <w:t>4.12 Multi-Format Exports</w:t>
      </w:r>
    </w:p>
    <w:p>
      <w:pPr>
        <w:spacing w:lineRule="exact" w:line="36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Benchmark Standard: </w:t>
      </w:r>
      <w:r>
        <w:rPr>
          <w:rFonts w:ascii="Times New Roman" w:hAnsi="Times New Roman"/>
          <w:color w:val="000000"/>
          <w:sz w:val="24"/>
        </w:rPr>
        <w:t>Standards-compliant CSV (RFC 4180), Excel (XLSX with proper data types), and JSON (UTF-8 encoded) formats. Maintain data integrity and metadata across formats.</w:t>
      </w:r>
    </w:p>
    <w:p>
      <w:pPr>
        <w:spacing w:lineRule="exact" w:line="360"/>
        <w:jc w:val="left"/>
      </w:pPr>
      <w:r>
        <w:rPr>
          <w:rFonts w:ascii="Times New Roman" w:hAnsi="Times New Roman"/>
          <w:b/>
          <w:color w:val="000000"/>
          <w:sz w:val="22"/>
        </w:rPr>
        <w:t xml:space="preserve">Reference: </w:t>
      </w:r>
      <w:r>
        <w:rPr>
          <w:rFonts w:ascii="Times New Roman" w:hAnsi="Times New Roman"/>
          <w:color w:val="000000"/>
          <w:sz w:val="22"/>
        </w:rPr>
        <w:t>Wickham, H. (2014). Tidy data. Journal of Statistical Software, 59(10), 1-23.</w:t>
      </w:r>
    </w:p>
    <w:p>
      <w:pPr>
        <w:spacing w:lineRule="exact" w:line="360"/>
        <w:jc w:val="left"/>
      </w:pPr>
    </w:p>
    <w:p>
      <w:pPr>
        <w:pStyle w:val="Heading2"/>
        <w:spacing w:lineRule="exact" w:line="360" w:before="180" w:after="100"/>
        <w:jc w:val="left"/>
      </w:pPr>
      <w:r>
        <w:rPr>
          <w:rFonts w:ascii="Times New Roman" w:hAnsi="Times New Roman"/>
          <w:b/>
          <w:color w:val="000000"/>
          <w:sz w:val="28"/>
        </w:rPr>
        <w:t>4.13 Method Documentation</w:t>
      </w:r>
    </w:p>
    <w:p>
      <w:pPr>
        <w:spacing w:lineRule="exact" w:line="36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Benchmark Standard: </w:t>
      </w:r>
      <w:r>
        <w:rPr>
          <w:rFonts w:ascii="Times New Roman" w:hAnsi="Times New Roman"/>
          <w:color w:val="000000"/>
          <w:sz w:val="24"/>
        </w:rPr>
        <w:t>Complete reproducibility documentation including software versions, random seeds, parameter settings, and computational environment. Follow FAIR principles (Findable, Accessible, Interoperable, Reusable).</w:t>
      </w:r>
    </w:p>
    <w:p>
      <w:pPr>
        <w:spacing w:lineRule="exact" w:line="360"/>
        <w:jc w:val="left"/>
      </w:pPr>
      <w:r>
        <w:rPr>
          <w:rFonts w:ascii="Times New Roman" w:hAnsi="Times New Roman"/>
          <w:b/>
          <w:color w:val="000000"/>
          <w:sz w:val="22"/>
        </w:rPr>
        <w:t xml:space="preserve">Reference: </w:t>
      </w:r>
      <w:r>
        <w:rPr>
          <w:rFonts w:ascii="Times New Roman" w:hAnsi="Times New Roman"/>
          <w:color w:val="000000"/>
          <w:sz w:val="22"/>
        </w:rPr>
        <w:t>Wilkinson, M. D., et al. (2016). The FAIR Guiding Principles for scientific data management and stewardship. Scientific Data, 3, 160018.</w:t>
      </w:r>
    </w:p>
    <w:p>
      <w:pPr>
        <w:spacing w:lineRule="exact" w:line="360"/>
        <w:jc w:val="left"/>
      </w:pPr>
    </w:p>
    <w:p>
      <w:pPr>
        <w:pStyle w:val="Heading2"/>
        <w:spacing w:lineRule="exact" w:line="360" w:before="180" w:after="100"/>
        <w:jc w:val="left"/>
      </w:pPr>
      <w:r>
        <w:rPr>
          <w:rFonts w:ascii="Times New Roman" w:hAnsi="Times New Roman"/>
          <w:b/>
          <w:color w:val="000000"/>
          <w:sz w:val="28"/>
        </w:rPr>
        <w:t>4.14 Uncoded/Ambiguous Responses</w:t>
      </w:r>
    </w:p>
    <w:p>
      <w:pPr>
        <w:spacing w:lineRule="exact" w:line="36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Benchmark Standard: </w:t>
      </w:r>
      <w:r>
        <w:rPr>
          <w:rFonts w:ascii="Times New Roman" w:hAnsi="Times New Roman"/>
          <w:color w:val="000000"/>
          <w:sz w:val="24"/>
        </w:rPr>
        <w:t>Systematic review of uncoded responses (&lt; 20% acceptable). Document reasons for exclusion and ambiguity. Consider additional coding cycles for high ambiguity rates (&gt; 15%).</w:t>
      </w:r>
    </w:p>
    <w:p>
      <w:pPr>
        <w:spacing w:lineRule="exact" w:line="360"/>
        <w:jc w:val="left"/>
      </w:pPr>
      <w:r>
        <w:rPr>
          <w:rFonts w:ascii="Times New Roman" w:hAnsi="Times New Roman"/>
          <w:b/>
          <w:color w:val="000000"/>
          <w:sz w:val="22"/>
        </w:rPr>
        <w:t xml:space="preserve">Reference: </w:t>
      </w:r>
      <w:r>
        <w:rPr>
          <w:rFonts w:ascii="Times New Roman" w:hAnsi="Times New Roman"/>
          <w:color w:val="000000"/>
          <w:sz w:val="22"/>
        </w:rPr>
        <w:t>Charmaz, K. (2014). Constructing grounded theory (2nd ed.). Sage Publications.</w:t>
      </w:r>
    </w:p>
    <w:p>
      <w:pPr>
        <w:spacing w:lineRule="exact" w:line="360"/>
        <w:jc w:val="left"/>
      </w:pPr>
    </w:p>
    <w:p>
      <w:pPr>
        <w:pStyle w:val="Heading2"/>
        <w:spacing w:lineRule="exact" w:line="360" w:before="180" w:after="100"/>
        <w:jc w:val="left"/>
      </w:pPr>
      <w:r>
        <w:rPr>
          <w:rFonts w:ascii="Times New Roman" w:hAnsi="Times New Roman"/>
          <w:b/>
          <w:color w:val="000000"/>
          <w:sz w:val="28"/>
        </w:rPr>
        <w:t>4.15 Executive Summary</w:t>
      </w:r>
    </w:p>
    <w:p>
      <w:pPr>
        <w:spacing w:lineRule="exact" w:line="36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Benchmark Standard: </w:t>
      </w:r>
      <w:r>
        <w:rPr>
          <w:rFonts w:ascii="Times New Roman" w:hAnsi="Times New Roman"/>
          <w:color w:val="000000"/>
          <w:sz w:val="24"/>
        </w:rPr>
        <w:t>Concise summary (1-2 pages) with key findings, top 5 themes, actionable insights, and limitations. Written for non-technical stakeholders following plain language guidelines.</w:t>
      </w:r>
    </w:p>
    <w:p>
      <w:pPr>
        <w:spacing w:lineRule="exact" w:line="360"/>
        <w:jc w:val="left"/>
      </w:pPr>
      <w:r>
        <w:rPr>
          <w:rFonts w:ascii="Times New Roman" w:hAnsi="Times New Roman"/>
          <w:b/>
          <w:color w:val="000000"/>
          <w:sz w:val="22"/>
        </w:rPr>
        <w:t xml:space="preserve">Reference: </w:t>
      </w:r>
      <w:r>
        <w:rPr>
          <w:rFonts w:ascii="Times New Roman" w:hAnsi="Times New Roman"/>
          <w:color w:val="000000"/>
          <w:sz w:val="22"/>
        </w:rPr>
        <w:t>American Psychological Association. (2020). Publication manual of the American Psychological Association (7th ed.).</w:t>
      </w:r>
    </w:p>
    <w:p>
      <w:pPr>
        <w:spacing w:lineRule="exact" w:line="360"/>
        <w:jc w:val="left"/>
      </w:pPr>
    </w:p>
    <w:p>
      <w:pPr>
        <w:pStyle w:val="Heading1"/>
        <w:spacing w:lineRule="exact" w:line="360" w:before="240" w:after="120"/>
        <w:jc w:val="left"/>
      </w:pPr>
      <w:r>
        <w:rPr>
          <w:rFonts w:ascii="Times New Roman" w:hAnsi="Times New Roman"/>
          <w:b/>
          <w:color w:val="000000"/>
          <w:sz w:val="32"/>
        </w:rPr>
        <w:t>5. Validation and Reliability Standards</w:t>
      </w:r>
    </w:p>
    <w:p>
      <w:pPr>
        <w:pStyle w:val="Heading2"/>
        <w:spacing w:lineRule="exact" w:line="360" w:before="180" w:after="100"/>
        <w:jc w:val="left"/>
      </w:pPr>
      <w:r>
        <w:rPr>
          <w:rFonts w:ascii="Times New Roman" w:hAnsi="Times New Roman"/>
          <w:b/>
          <w:color w:val="000000"/>
          <w:sz w:val="28"/>
        </w:rPr>
        <w:t>5.1 Internal Validity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Consistency checks: Code assignments should remain stable across multiple algorithm runs (&gt; 90% agreement)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Convergent validity: Different algorithms should identify similar major themes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Content validity: Codes should comprehensively represent the data domain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Face validity: Subject matter experts should confirm code interpretability</w:t>
      </w:r>
    </w:p>
    <w:p>
      <w:pPr>
        <w:spacing w:lineRule="exact" w:line="360"/>
        <w:jc w:val="left"/>
      </w:pPr>
    </w:p>
    <w:p>
      <w:pPr>
        <w:pStyle w:val="Heading2"/>
        <w:spacing w:lineRule="exact" w:line="360" w:before="180" w:after="100"/>
        <w:jc w:val="left"/>
      </w:pPr>
      <w:r>
        <w:rPr>
          <w:rFonts w:ascii="Times New Roman" w:hAnsi="Times New Roman"/>
          <w:b/>
          <w:color w:val="000000"/>
          <w:sz w:val="28"/>
        </w:rPr>
        <w:t>5.2 External Validity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Transferability: Findings should generalize to similar populations/contexts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Confirmability: Results should be verifiable through audit trails and documentation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Dependability: Analysis should be replicable with consistent results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Credibility: Findings should resonate with stakeholder experiences</w:t>
      </w:r>
    </w:p>
    <w:p>
      <w:pPr>
        <w:spacing w:lineRule="exact" w:line="360"/>
        <w:jc w:val="left"/>
      </w:pPr>
      <w:r>
        <w:rPr>
          <w:rFonts w:ascii="Times New Roman" w:hAnsi="Times New Roman"/>
          <w:b/>
          <w:color w:val="000000"/>
          <w:sz w:val="22"/>
        </w:rPr>
        <w:t xml:space="preserve">Reference: </w:t>
      </w:r>
      <w:r>
        <w:rPr>
          <w:rFonts w:ascii="Times New Roman" w:hAnsi="Times New Roman"/>
          <w:color w:val="000000"/>
          <w:sz w:val="22"/>
        </w:rPr>
        <w:t>Guba, E. G., &amp; Lincoln, Y. S. (1989). Fourth generation evaluation. Sage Publications.</w:t>
      </w:r>
    </w:p>
    <w:p>
      <w:pPr>
        <w:spacing w:lineRule="exact" w:line="360"/>
        <w:jc w:val="left"/>
      </w:pPr>
    </w:p>
    <w:p>
      <w:pPr>
        <w:pStyle w:val="Heading1"/>
        <w:spacing w:lineRule="exact" w:line="360" w:before="240" w:after="120"/>
        <w:jc w:val="left"/>
      </w:pPr>
      <w:r>
        <w:rPr>
          <w:rFonts w:ascii="Times New Roman" w:hAnsi="Times New Roman"/>
          <w:b/>
          <w:color w:val="000000"/>
          <w:sz w:val="32"/>
        </w:rPr>
        <w:t>6. Computational Performance Benchmarks</w:t>
      </w:r>
    </w:p>
    <w:p>
      <w:pPr>
        <w:spacing w:lineRule="exact" w:line="360"/>
        <w:jc w:val="left"/>
      </w:pPr>
      <w:r>
        <w:rPr>
          <w:rFonts w:ascii="Times New Roman" w:hAnsi="Times New Roman"/>
          <w:b/>
          <w:color w:val="000000"/>
          <w:sz w:val="24"/>
        </w:rPr>
        <w:t>Processing Time: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1,000 responses: &lt; 30 seconds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10,000 responses: &lt; 5 minutes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100,000 responses: &lt; 30 minutes</w:t>
      </w:r>
    </w:p>
    <w:p>
      <w:pPr>
        <w:spacing w:lineRule="exact" w:line="360"/>
        <w:jc w:val="left"/>
      </w:pPr>
      <w:r>
        <w:rPr>
          <w:rFonts w:ascii="Times New Roman" w:hAnsi="Times New Roman"/>
          <w:b/>
          <w:color w:val="000000"/>
          <w:sz w:val="24"/>
        </w:rPr>
        <w:t>Memory Usage: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Peak memory should not exceed 2GB for datasets &lt; 50,000 responses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Linear or sub-linear memory scaling with dataset size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Efficient sparse matrix representations for large vocabularies</w:t>
      </w:r>
    </w:p>
    <w:p>
      <w:pPr>
        <w:spacing w:lineRule="exact" w:line="360"/>
        <w:jc w:val="left"/>
      </w:pPr>
      <w:r>
        <w:rPr>
          <w:rFonts w:ascii="Times New Roman" w:hAnsi="Times New Roman"/>
          <w:b/>
          <w:color w:val="000000"/>
          <w:sz w:val="22"/>
        </w:rPr>
        <w:t xml:space="preserve">Reference: </w:t>
      </w:r>
      <w:r>
        <w:rPr>
          <w:rFonts w:ascii="Times New Roman" w:hAnsi="Times New Roman"/>
          <w:color w:val="000000"/>
          <w:sz w:val="22"/>
        </w:rPr>
        <w:t>Pedregosa, F., et al. (2011). Scikit-learn: Machine learning in Python. Journal of Machine Learning Research, 12, 2825-2830.</w:t>
      </w:r>
    </w:p>
    <w:p>
      <w:pPr>
        <w:spacing w:lineRule="exact" w:line="360"/>
        <w:jc w:val="left"/>
      </w:pPr>
    </w:p>
    <w:p>
      <w:pPr>
        <w:pStyle w:val="Heading1"/>
        <w:spacing w:lineRule="exact" w:line="360" w:before="240" w:after="120"/>
        <w:jc w:val="left"/>
      </w:pPr>
      <w:r>
        <w:rPr>
          <w:rFonts w:ascii="Times New Roman" w:hAnsi="Times New Roman"/>
          <w:b/>
          <w:color w:val="000000"/>
          <w:sz w:val="32"/>
        </w:rPr>
        <w:t>7. Conclusion</w:t>
      </w:r>
    </w:p>
    <w:p>
      <w:pPr>
        <w:spacing w:lineRule="exact" w:line="360"/>
        <w:jc w:val="left"/>
      </w:pPr>
      <w:r>
        <w:rPr>
          <w:rFonts w:ascii="Times New Roman" w:hAnsi="Times New Roman"/>
          <w:color w:val="000000"/>
          <w:sz w:val="24"/>
        </w:rPr>
        <w:t>These benchmark standards provide a comprehensive framework for evaluating the quality, validity, and reliability of open-ended coding analysis. Adherence to these standards ensures that the JC-OE-Coding framework produces results that meet academic rigor and industry best practices. Regular validation against these benchmarks is recommended to maintain quality assurance and continuous improvement of the analytical methods.</w:t>
      </w:r>
    </w:p>
    <w:p>
      <w:pPr>
        <w:spacing w:lineRule="exact" w:line="360"/>
        <w:jc w:val="left"/>
      </w:pPr>
    </w:p>
    <w:p>
      <w:pPr>
        <w:pStyle w:val="Heading1"/>
        <w:spacing w:lineRule="exact" w:line="360" w:before="240" w:after="120"/>
        <w:jc w:val="left"/>
      </w:pPr>
      <w:r>
        <w:rPr>
          <w:rFonts w:ascii="Times New Roman" w:hAnsi="Times New Roman"/>
          <w:b/>
          <w:color w:val="000000"/>
          <w:sz w:val="32"/>
        </w:rPr>
        <w:t>8. Additional Resources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Scikit-learn Documentation: https://scikit-learn.org/stable/modules/clustering.html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NLTK Documentation: https://www.nltk.org/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The Qualitative Data Analysis Software (QDAS) Comparison: Lewins, A., &amp; Silver, C. (2007). Using software in qualitative research: A step-by-step guide. Sage Publications.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Text Mining and Analysis: Practical Methods, Examples, and Case Studies Using SAS. Chakraborty, G., Pagolu, M., &amp; Garla, S. (2014). SAS Institute.</w:t>
      </w:r>
    </w:p>
    <w:p>
      <w:pPr>
        <w:pStyle w:val="ListBullet"/>
        <w:spacing w:lineRule="exact" w:line="360"/>
        <w:ind w:left="720" w:hanging="360"/>
      </w:pPr>
      <w:r>
        <w:rPr>
          <w:rFonts w:ascii="Times New Roman" w:hAnsi="Times New Roman"/>
          <w:color w:val="000000"/>
          <w:sz w:val="24"/>
        </w:rPr>
        <w:t>Handbook of Mixed Methods in Social &amp; Behavioral Research (2nd ed.). Tashakkori, A., &amp; Teddlie, C. (2010). Sage Publications.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360"/>
      <w:jc w:val="left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