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4"/>
          <w:szCs w:val="44"/>
        </w:rPr>
        <w:t xml:space="preserve">KLARITY</w:t>
      </w:r>
    </w:p>
    <w:p>
      <w:pPr>
        <w:spacing w:after="200"/>
        <w:jc w:val="center"/>
      </w:pPr>
      <w:r>
        <w:rPr>
          <w:b/>
          <w:bCs/>
          <w:sz w:val="32"/>
          <w:szCs w:val="32"/>
        </w:rPr>
        <w:t xml:space="preserve">MENTIONS LÉGALES</w:t>
      </w:r>
    </w:p>
    <w:p>
      <w:pPr>
        <w:spacing w:after="200"/>
        <w:jc w:val="center"/>
      </w:pPr>
      <w:r>
        <w:rPr>
          <w:i/>
          <w:iCs/>
          <w:sz w:val="22"/>
          <w:szCs w:val="22"/>
        </w:rPr>
        <w:t xml:space="preserve">Plateforme éducative assistée par intelligence artificielle — Cameroun</w:t>
      </w:r>
    </w:p>
    <w:p>
      <w:pPr>
        <w:spacing w:after="120"/>
        <w:jc w:val="center"/>
      </w:pPr>
      <w:r>
        <w:rPr>
          <w:sz w:val="20"/>
          <w:szCs w:val="20"/>
        </w:rPr>
        <w:t xml:space="preserve">Document complémentaire aux Conditions Générales d'Utilisation et à la Politique de Confidentialité de Klarity</w:t>
      </w:r>
    </w:p>
    <w:p>
      <w:pPr>
        <w:spacing w:after="200"/>
        <w:jc w:val="center"/>
      </w:pPr>
      <w:r>
        <w:rPr>
          <w:sz w:val="20"/>
          <w:szCs w:val="20"/>
        </w:rPr>
        <w:t xml:space="preserve">Version 1.2 — 13 septembre 2026</w:t>
      </w:r>
    </w:p>
    <w:p>
      <w:pPr>
        <w:pStyle w:val="Heading1"/>
        <w:spacing w:after="200" w:before="360"/>
      </w:pPr>
      <w:r>
        <w:rPr>
          <w:b/>
          <w:bCs/>
          <w:sz w:val="26"/>
          <w:szCs w:val="26"/>
        </w:rPr>
        <w:t xml:space="preserve">PRÉAMBULE</w:t>
      </w:r>
    </w:p>
    <w:p>
      <w:pPr>
        <w:spacing w:after="160"/>
      </w:pPr>
      <w:r>
        <w:rPr>
          <w:b w:val="false"/>
          <w:bCs w:val="false"/>
          <w:i w:val="false"/>
          <w:iCs w:val="false"/>
        </w:rPr>
        <w:t xml:space="preserve">Conformément aux usages en vigueur pour tout service numérique accessible au public et aux exigences de transparence attachées à la fourniture d'un service à distance, les présentes Mentions Légales ont pour objet d'identifier l'éditeur de la plateforme Klarity, son hébergeur, ainsi que les conditions générales d'exploitation du service.</w:t>
      </w:r>
    </w:p>
    <w:p>
      <w:pPr>
        <w:spacing w:after="160"/>
      </w:pPr>
      <w:r>
        <w:rPr>
          <w:b w:val="false"/>
          <w:bCs w:val="false"/>
          <w:i w:val="false"/>
          <w:iCs w:val="false"/>
        </w:rPr>
        <w:t xml:space="preserve">Les présentes Mentions Légales complètent les Conditions Générales d'Utilisation et la Politique de Confidentialité de Klarity, documents auxquels il convient de se référer respectivement pour les conditions d'usage du service et pour le détail des traitements de données à caractère personnel. En cas de contradiction entre les présentes Mentions Légales et l'un de ces deux documents sur une question qu'ils couvrent, ces derniers prévalent dans leur domaine respectif.</w:t>
      </w:r>
    </w:p>
    <w:p>
      <w:pPr>
        <w:pStyle w:val="Heading1"/>
        <w:spacing w:after="200" w:before="360"/>
      </w:pPr>
      <w:r>
        <w:rPr>
          <w:b/>
          <w:bCs/>
          <w:sz w:val="26"/>
          <w:szCs w:val="26"/>
        </w:rPr>
        <w:t xml:space="preserve">ARTICLE 1 — ÉDITEUR DE LA PLATEFORME</w:t>
      </w:r>
    </w:p>
    <w:p>
      <w:pPr>
        <w:spacing w:after="160"/>
      </w:pPr>
      <w:r>
        <w:rPr>
          <w:b w:val="false"/>
          <w:bCs w:val="false"/>
          <w:i w:val="false"/>
          <w:iCs w:val="false"/>
        </w:rPr>
        <w:t xml:space="preserve">La plateforme Klarity, accessible via son site web, est éditée par :</w:t>
      </w:r>
    </w:p>
    <w:p>
      <w:pPr>
        <w:pStyle w:val="ListParagraph"/>
        <w:numPr>
          <w:ilvl w:val="0"/>
          <w:numId w:val="1"/>
        </w:numPr>
        <w:spacing w:after="80"/>
      </w:pPr>
      <w:r>
        <w:rPr>
          <w:b w:val="false"/>
          <w:bCs w:val="false"/>
          <w:i w:val="false"/>
          <w:iCs w:val="false"/>
        </w:rPr>
        <w:t xml:space="preserve">Nom de l'éditeur : NOUMBOU NGUEDJI Cowen</w:t>
      </w:r>
    </w:p>
    <w:p>
      <w:pPr>
        <w:spacing w:after="80"/>
      </w:pPr>
    </w:p>
    <w:p>
      <w:pPr>
        <w:pStyle w:val="ListParagraph"/>
        <w:numPr>
          <w:ilvl w:val="0"/>
          <w:numId w:val="1"/>
        </w:numPr>
        <w:spacing w:after="80"/>
      </w:pPr>
      <w:r>
        <w:rPr>
          <w:b w:val="false"/>
          <w:bCs w:val="false"/>
          <w:i w:val="false"/>
          <w:iCs w:val="false"/>
        </w:rPr>
        <w:t xml:space="preserve">Qualité : éditeur exerçant à titre individuel (personne physique) ; à la date de la présente version, la Plateforme n'est exploitée par aucune société constituée</w:t>
      </w:r>
    </w:p>
    <w:p>
      <w:pPr>
        <w:spacing w:after="80"/>
      </w:pPr>
    </w:p>
    <w:p>
      <w:pPr>
        <w:pStyle w:val="ListParagraph"/>
        <w:numPr>
          <w:ilvl w:val="0"/>
          <w:numId w:val="1"/>
        </w:numPr>
        <w:spacing w:after="80"/>
      </w:pPr>
      <w:r>
        <w:rPr>
          <w:b w:val="false"/>
          <w:bCs w:val="false"/>
          <w:i w:val="false"/>
          <w:iCs w:val="false"/>
        </w:rPr>
        <w:t xml:space="preserve">Adresse de correspondance : Lendi, Cameroun</w:t>
      </w:r>
    </w:p>
    <w:p>
      <w:pPr>
        <w:spacing w:after="80"/>
      </w:pPr>
    </w:p>
    <w:p>
      <w:pPr>
        <w:pStyle w:val="ListParagraph"/>
        <w:numPr>
          <w:ilvl w:val="0"/>
          <w:numId w:val="1"/>
        </w:numPr>
        <w:spacing w:after="80"/>
      </w:pPr>
      <w:r>
        <w:rPr>
          <w:b w:val="false"/>
          <w:bCs w:val="false"/>
          <w:i w:val="false"/>
          <w:iCs w:val="false"/>
        </w:rPr>
        <w:t xml:space="preserve">Adresse électronique de contact : cowen.noumbou@gmail.com</w:t>
      </w:r>
    </w:p>
    <w:p>
      <w:pPr>
        <w:spacing w:after="80"/>
      </w:pPr>
    </w:p>
    <w:p>
      <w:pPr>
        <w:pStyle w:val="ListParagraph"/>
        <w:numPr>
          <w:ilvl w:val="0"/>
          <w:numId w:val="1"/>
        </w:numPr>
        <w:spacing w:after="80"/>
      </w:pPr>
      <w:r>
        <w:rPr>
          <w:b w:val="false"/>
          <w:bCs w:val="false"/>
          <w:i w:val="false"/>
          <w:iCs w:val="false"/>
        </w:rPr>
        <w:t xml:space="preserve">Numéro de téléphone : +237 681 74 19 73</w:t>
      </w:r>
    </w:p>
    <w:p>
      <w:pPr>
        <w:spacing w:after="80"/>
      </w:pPr>
    </w:p>
    <w:p>
      <w:pPr>
        <w:spacing w:after="160"/>
      </w:pPr>
      <w:r>
        <w:rPr>
          <w:b w:val="false"/>
          <w:bCs w:val="false"/>
          <w:i w:val="false"/>
          <w:iCs w:val="false"/>
        </w:rPr>
        <w:t xml:space="preserve">Klarity est, à la date de la présente version, exploitée par un développeur indépendant agissant à titre individuel. Les informations d'identification ci-dessus seront complétées et publiées dès leur disponibilité définitive. Aucune collecte de données réelles d'Élèves ni ouverture commerciale de la Plateforme ne doit intervenir tant que cette identification n'est pas complète et que les autorisations requises en matière de protection des données n'ont pas été obtenues. Il est rappelé qu'en l'absence de société constituée, l'éditeur exerce cette activité et en répond sur son patrimoine personnel, ce qui devra être réexaminé si l'activité venait à se formaliser (immatriculation individuelle ou création d'une société).</w:t>
      </w:r>
    </w:p>
    <w:p>
      <w:pPr>
        <w:pStyle w:val="Heading1"/>
        <w:spacing w:after="200" w:before="360"/>
      </w:pPr>
      <w:r>
        <w:rPr>
          <w:b/>
          <w:bCs/>
          <w:sz w:val="26"/>
          <w:szCs w:val="26"/>
        </w:rPr>
        <w:t xml:space="preserve">ARTICLE 2 — DIRECTION DE LA PUBLICATION</w:t>
      </w:r>
    </w:p>
    <w:p>
      <w:pPr>
        <w:spacing w:after="160"/>
      </w:pPr>
      <w:r>
        <w:rPr>
          <w:b w:val="false"/>
          <w:bCs w:val="false"/>
          <w:i w:val="false"/>
          <w:iCs w:val="false"/>
        </w:rPr>
        <w:t xml:space="preserve">Le Directeur de la publication de la Plateforme est NOUMBOU NGUEDJI Cowen, en sa qualité d'éditeur exerçant à titre individuel. Il est responsable, au sens des dispositions applicables à la communication au public par voie électronique, du contenu publié sur la Plateforme, à l'exclusion des contenus déposés par les Utilisateurs eux-mêmes (photographies de copies, messages du chat-tuteur) et des contenus générés par le Service IA, lesquels sont encadrés par l'Article 8 des Conditions Générales d'Utilisation.</w:t>
      </w:r>
    </w:p>
    <w:p>
      <w:pPr>
        <w:pStyle w:val="Heading1"/>
        <w:spacing w:after="200" w:before="360"/>
      </w:pPr>
      <w:r>
        <w:rPr>
          <w:b/>
          <w:bCs/>
          <w:sz w:val="26"/>
          <w:szCs w:val="26"/>
        </w:rPr>
        <w:t xml:space="preserve">ARTICLE 3 — HÉBERGEMENT</w:t>
      </w:r>
    </w:p>
    <w:p>
      <w:pPr>
        <w:pStyle w:val="Heading2"/>
        <w:spacing w:after="160" w:before="240"/>
      </w:pPr>
      <w:r>
        <w:rPr>
          <w:b/>
          <w:bCs/>
          <w:sz w:val="23"/>
          <w:szCs w:val="23"/>
        </w:rPr>
        <w:t xml:space="preserve">3.1 Hébergement applicatif</w:t>
      </w:r>
    </w:p>
    <w:p>
      <w:pPr>
        <w:spacing w:after="160"/>
      </w:pPr>
      <w:r>
        <w:rPr>
          <w:b w:val="false"/>
          <w:bCs w:val="false"/>
          <w:i w:val="false"/>
          <w:iCs w:val="false"/>
        </w:rPr>
        <w:t>L'application Klarity (site web, back-office) est hébergée sur une infrastructure de type serveur privé virtuel (VPS) ou plateforme d'hébergement applicative équivalente.</w:t>
      </w:r>
    </w:p>
    <w:p>
      <w:pPr>
        <w:pStyle w:val="Heading2"/>
        <w:spacing w:after="160" w:before="240"/>
      </w:pPr>
      <w:r>
        <w:rPr>
          <w:b/>
          <w:bCs/>
          <w:sz w:val="23"/>
          <w:szCs w:val="23"/>
        </w:rPr>
        <w:t xml:space="preserve">3.2 Hébergement des fichiers</w:t>
      </w:r>
    </w:p>
    <w:p>
      <w:pPr>
        <w:spacing w:after="160"/>
      </w:pPr>
      <w:r>
        <w:rPr>
          <w:b w:val="false"/>
          <w:bCs w:val="false"/>
          <w:i w:val="false"/>
          <w:iCs w:val="false"/>
        </w:rPr>
        <w:t xml:space="preserve">Les fichiers déposés par les Utilisateurs (photographies de copies d'examen, corrigés, épreuves au format PDF) sont hébergés au moyen du service de stockage Cloudflare R2, opéré par Cloudflare, Inc., et accessibles exclusivement via des URLs signées à durée de validité limitée, conformément aux mesures de sécurité décrites dans la Politique de Confidentialité.</w:t>
      </w:r>
    </w:p>
    <w:p>
      <w:pPr>
        <w:spacing w:after="160"/>
      </w:pPr>
      <w:r>
        <w:rPr>
          <w:b w:val="false"/>
          <w:bCs w:val="false"/>
          <w:i w:val="false"/>
          <w:iCs w:val="false"/>
        </w:rPr>
        <w:t xml:space="preserve">Le recours à un hébergement susceptible de traiter des données en dehors du territoire camerounais est encadré par les dispositions relatives aux transferts internationaux de données décrites dans la Politique de Confidentialité, à laquelle il convient de se référer.</w:t>
      </w:r>
    </w:p>
    <w:p>
      <w:pPr>
        <w:pStyle w:val="Heading1"/>
        <w:spacing w:after="200" w:before="360"/>
      </w:pPr>
      <w:r>
        <w:rPr>
          <w:b/>
          <w:bCs/>
          <w:sz w:val="26"/>
          <w:szCs w:val="26"/>
        </w:rPr>
        <w:t xml:space="preserve">ARTICLE 4 — DÉLÉGUÉ À LA PROTECTION DES DONNÉES ET DONNÉES PERSONNELLES</w:t>
      </w:r>
    </w:p>
    <w:p>
      <w:pPr>
        <w:spacing w:after="160"/>
      </w:pPr>
      <w:r>
        <w:rPr>
          <w:b w:val="false"/>
          <w:bCs w:val="false"/>
          <w:i w:val="false"/>
          <w:iCs w:val="false"/>
        </w:rPr>
        <w:t xml:space="preserve">Klarity traite des données à caractère personnel dans le cadre de la fourniture de ses services, pour l'essentiel des données concernant des mineurs. Ces traitements sont décrits de manière exhaustive dans la Politique de Confidentialité, document distinct disponible sur la Plateforme, qui précise notamment les catégories de données collectées, leurs finalités, les destinataires, les durées de conservation et les modalités d'exercice des droits des personnes concernées, conformément à la Loi n°2024/017 du 23 décembre 2024 relative à la protection des données à caractère personnel au Cameroun.</w:t>
      </w:r>
    </w:p>
    <w:p>
      <w:pPr>
        <w:spacing w:after="160"/>
      </w:pPr>
      <w:r>
        <w:rPr>
          <w:b w:val="false"/>
          <w:bCs w:val="false"/>
          <w:i w:val="false"/>
          <w:iCs w:val="false"/>
        </w:rPr>
        <w:t xml:space="preserve">Klarity a désigné un Délégué à la Protection des Données, interlocuteur privilégié pour toute question relative à ces traitements, dont les coordonnées sont communiquées aux Utilisateurs sur la Plateforme.</w:t>
      </w:r>
    </w:p>
    <w:p>
      <w:pPr>
        <w:pStyle w:val="Heading1"/>
        <w:spacing w:after="200" w:before="360"/>
      </w:pPr>
      <w:r>
        <w:rPr>
          <w:b/>
          <w:bCs/>
          <w:sz w:val="26"/>
          <w:szCs w:val="26"/>
        </w:rPr>
        <w:t xml:space="preserve">ARTICLE 5 — PROPRIÉTÉ INTELLECTUELLE</w:t>
      </w:r>
    </w:p>
    <w:p>
      <w:pPr>
        <w:spacing w:after="160"/>
      </w:pPr>
      <w:r>
        <w:rPr>
          <w:b w:val="false"/>
          <w:bCs w:val="false"/>
          <w:i w:val="false"/>
          <w:iCs w:val="false"/>
        </w:rPr>
        <w:t xml:space="preserve">L'ensemble des éléments composant la Plateforme — structure, arborescence, charte graphique, textes, logo, base d'épreuves et de corrigés compilés ou rédigés par Klarity, barèmes et exemples méthodologiques, code source et logiciels — est protégé par le droit de la propriété intellectuelle et demeure la propriété exclusive de l'éditeur de Klarity ou de ses concédants, sauf mention contraire.</w:t>
      </w:r>
    </w:p>
    <w:p>
      <w:pPr>
        <w:spacing w:after="160"/>
      </w:pPr>
      <w:r>
        <w:rPr>
          <w:b w:val="false"/>
          <w:bCs w:val="false"/>
          <w:i w:val="false"/>
          <w:iCs w:val="false"/>
        </w:rPr>
        <w:t xml:space="preserve">Toute reproduction, représentation, modification, publication ou adaptation de tout ou partie des éléments de la Plateforme, par quelque procédé que ce soit, est interdite sans autorisation écrite préalable de Klarity, sous réserve du droit d'usage personnel et pédagogique concédé à l'Utilisateur dans les conditions de l'Article 9 des Conditions Générales d'Utilisation.</w:t>
      </w:r>
    </w:p>
    <w:p>
      <w:pPr>
        <w:spacing w:after="160"/>
      </w:pPr>
      <w:r>
        <w:rPr>
          <w:b w:val="false"/>
          <w:bCs w:val="false"/>
          <w:i w:val="false"/>
          <w:iCs w:val="false"/>
        </w:rPr>
        <w:t xml:space="preserve">Les épreuves d'examen intégrées à la banque documentaire de la Plateforme sont susceptibles de comporter des annales dont les droits sont détenus par des tiers, notamment au titre de la Loi n°2000/011 du 19 décembre 2000 relative au droit d'auteur et aux droits voisins au Cameroun. Klarity s'engage à régulariser l'usage de ces contenus auprès des ayants droit ou organismes de gestion collective compétents préalablement à toute exploitation commerciale à grande échelle.</w:t>
      </w:r>
    </w:p>
    <w:p>
      <w:pPr>
        <w:pStyle w:val="Heading1"/>
        <w:spacing w:after="200" w:before="360"/>
      </w:pPr>
      <w:r>
        <w:rPr>
          <w:b/>
          <w:bCs/>
          <w:sz w:val="26"/>
          <w:szCs w:val="26"/>
        </w:rPr>
        <w:t xml:space="preserve">ARTICLE 6 — SERVICES ET CONTENUS TIERS INTÉGRÉS</w:t>
      </w:r>
    </w:p>
    <w:p>
      <w:pPr>
        <w:spacing w:after="160"/>
      </w:pPr>
      <w:r>
        <w:rPr>
          <w:b w:val="false"/>
          <w:bCs w:val="false"/>
          <w:i w:val="false"/>
          <w:iCs w:val="false"/>
        </w:rPr>
        <w:t xml:space="preserve">Pour fonctionner, la Plateforme fait appel à plusieurs services tiers, dont l'Utilisateur est informé par transparence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DEBF7" w:color="auto" w:val="clear"/>
            <w:tcMar>
              <w:top w:type="dxa" w:w="80"/>
              <w:left w:type="dxa" w:w="100"/>
              <w:bottom w:type="dxa" w:w="80"/>
              <w:right w:type="dxa" w:w="100"/>
            </w:tcMar>
          </w:tcPr>
          <w:p>
            <w:pPr>
              <w:spacing w:after="0"/>
            </w:pPr>
            <w:r>
              <w:rPr>
                <w:b/>
                <w:bCs/>
                <w:i w:val="false"/>
                <w:iCs w:val="false"/>
              </w:rPr>
              <w:t xml:space="preserve">Service tiers</w:t>
            </w:r>
          </w:p>
        </w:tc>
        <w:tc>
          <w:tcPr>
            <w:tcW w:type="dxa" w:w="4500"/>
            <w:shd w:fill="DDEBF7" w:color="auto" w:val="clear"/>
            <w:tcMar>
              <w:top w:type="dxa" w:w="80"/>
              <w:left w:type="dxa" w:w="100"/>
              <w:bottom w:type="dxa" w:w="80"/>
              <w:right w:type="dxa" w:w="100"/>
            </w:tcMar>
          </w:tcPr>
          <w:p>
            <w:pPr>
              <w:spacing w:after="0"/>
            </w:pPr>
            <w:r>
              <w:rPr>
                <w:b/>
                <w:bCs/>
                <w:i w:val="false"/>
                <w:iCs w:val="false"/>
              </w:rPr>
              <w:t xml:space="preserve">Fonction sur la Plateforme</w:t>
            </w:r>
          </w:p>
        </w:tc>
      </w:tr>
      <w:tr>
        <w:trPr>
          <w:tblHeader w:val="false"/>
        </w:trPr>
        <w:tc>
          <w:tcPr>
            <w:tcW w:type="dxa" w:w="4500"/>
            <w:tcMar>
              <w:top w:type="dxa" w:w="80"/>
              <w:left w:type="dxa" w:w="100"/>
              <w:bottom w:type="dxa" w:w="80"/>
              <w:right w:type="dxa" w:w="100"/>
            </w:tcMar>
          </w:tcPr>
          <w:p>
            <w:pPr>
              <w:spacing w:after="0"/>
            </w:pPr>
            <w:r>
              <w:rPr>
                <w:b w:val="false"/>
                <w:bCs w:val="false"/>
                <w:i w:val="false"/>
                <w:iCs w:val="false"/>
              </w:rPr>
              <w:t xml:space="preserve">API Anthropic Claude</w:t>
            </w:r>
          </w:p>
        </w:tc>
        <w:tc>
          <w:tcPr>
            <w:tcW w:type="dxa" w:w="4500"/>
            <w:tcMar>
              <w:top w:type="dxa" w:w="80"/>
              <w:left w:type="dxa" w:w="100"/>
              <w:bottom w:type="dxa" w:w="80"/>
              <w:right w:type="dxa" w:w="100"/>
            </w:tcMar>
          </w:tcPr>
          <w:p>
            <w:pPr>
              <w:spacing w:after="0"/>
            </w:pPr>
            <w:r>
              <w:rPr>
                <w:b w:val="false"/>
                <w:bCs w:val="false"/>
                <w:i w:val="false"/>
                <w:iCs w:val="false"/>
              </w:rPr>
              <w:t xml:space="preserve">Chat-tuteur, correction automatisée de copies, détection de lacunes, génération de quiz</w:t>
            </w:r>
          </w:p>
        </w:tc>
      </w:tr>
      <w:tr>
        <w:trPr>
          <w:tblHeader w:val="false"/>
        </w:trPr>
        <w:tc>
          <w:tcPr>
            <w:tcW w:type="dxa" w:w="4500"/>
            <w:tcMar>
              <w:top w:type="dxa" w:w="80"/>
              <w:left w:type="dxa" w:w="100"/>
              <w:bottom w:type="dxa" w:w="80"/>
              <w:right w:type="dxa" w:w="100"/>
            </w:tcMar>
          </w:tcPr>
          <w:p>
            <w:pPr>
              <w:spacing w:after="0"/>
            </w:pPr>
            <w:r>
              <w:rPr>
                <w:b w:val="false"/>
                <w:bCs w:val="false"/>
                <w:i w:val="false"/>
                <w:iCs w:val="false"/>
              </w:rPr>
              <w:t xml:space="preserve">YouTube Data API et lecteur youtube-nocookie.com (Google)</w:t>
            </w:r>
          </w:p>
        </w:tc>
        <w:tc>
          <w:tcPr>
            <w:tcW w:type="dxa" w:w="4500"/>
            <w:tcMar>
              <w:top w:type="dxa" w:w="80"/>
              <w:left w:type="dxa" w:w="100"/>
              <w:bottom w:type="dxa" w:w="80"/>
              <w:right w:type="dxa" w:w="100"/>
            </w:tcMar>
          </w:tcPr>
          <w:p>
            <w:pPr>
              <w:spacing w:after="0"/>
            </w:pPr>
            <w:r>
              <w:rPr>
                <w:b w:val="false"/>
                <w:bCs w:val="false"/>
                <w:i w:val="false"/>
                <w:iCs w:val="false"/>
              </w:rPr>
              <w:t xml:space="preserve">Recherche et intégration de vidéos pédagogiques recommandées</w:t>
            </w:r>
          </w:p>
        </w:tc>
      </w:tr>
      <w:tr>
        <w:trPr>
          <w:tblHeader w:val="false"/>
        </w:trPr>
        <w:tc>
          <w:tcPr>
            <w:tcW w:type="dxa" w:w="4500"/>
            <w:tcMar>
              <w:top w:type="dxa" w:w="80"/>
              <w:left w:type="dxa" w:w="100"/>
              <w:bottom w:type="dxa" w:w="80"/>
              <w:right w:type="dxa" w:w="100"/>
            </w:tcMar>
          </w:tcPr>
          <w:p>
            <w:pPr>
              <w:spacing w:after="0"/>
            </w:pPr>
            <w:r>
              <w:rPr>
                <w:b w:val="false"/>
                <w:bCs w:val="false"/>
                <w:i w:val="false"/>
                <w:iCs w:val="false"/>
              </w:rPr>
              <w:t xml:space="preserve">NotchPay</w:t>
            </w:r>
          </w:p>
        </w:tc>
        <w:tc>
          <w:tcPr>
            <w:tcW w:type="dxa" w:w="4500"/>
            <w:tcMar>
              <w:top w:type="dxa" w:w="80"/>
              <w:left w:type="dxa" w:w="100"/>
              <w:bottom w:type="dxa" w:w="80"/>
              <w:right w:type="dxa" w:w="100"/>
            </w:tcMar>
          </w:tcPr>
          <w:p>
            <w:pPr>
              <w:spacing w:after="0"/>
            </w:pPr>
            <w:r>
              <w:rPr>
                <w:b w:val="false"/>
                <w:bCs w:val="false"/>
                <w:i w:val="false"/>
                <w:iCs w:val="false"/>
              </w:rPr>
              <w:t xml:space="preserve">Traitement des paiements Mobile Money</w:t>
            </w:r>
          </w:p>
        </w:tc>
      </w:tr>
      <w:tr>
        <w:trPr>
          <w:tblHeader w:val="false"/>
        </w:trPr>
        <w:tc>
          <w:tcPr>
            <w:tcW w:type="dxa" w:w="4500"/>
            <w:tcMar>
              <w:top w:type="dxa" w:w="80"/>
              <w:left w:type="dxa" w:w="100"/>
              <w:bottom w:type="dxa" w:w="80"/>
              <w:right w:type="dxa" w:w="100"/>
            </w:tcMar>
          </w:tcPr>
          <w:p>
            <w:pPr>
              <w:spacing w:after="0"/>
            </w:pPr>
            <w:r>
              <w:rPr>
                <w:b w:val="false"/>
                <w:bCs w:val="false"/>
                <w:i w:val="false"/>
                <w:iCs w:val="false"/>
              </w:rPr>
              <w:t xml:space="preserve">Cloudflare R2</w:t>
            </w:r>
          </w:p>
        </w:tc>
        <w:tc>
          <w:tcPr>
            <w:tcW w:type="dxa" w:w="4500"/>
            <w:tcMar>
              <w:top w:type="dxa" w:w="80"/>
              <w:left w:type="dxa" w:w="100"/>
              <w:bottom w:type="dxa" w:w="80"/>
              <w:right w:type="dxa" w:w="100"/>
            </w:tcMar>
          </w:tcPr>
          <w:p>
            <w:pPr>
              <w:spacing w:after="0"/>
            </w:pPr>
            <w:r>
              <w:rPr>
                <w:b w:val="false"/>
                <w:bCs w:val="false"/>
                <w:i w:val="false"/>
                <w:iCs w:val="false"/>
              </w:rPr>
              <w:t xml:space="preserve">Hébergement sécurisé des fichiers déposés (copies, corrigés, épreuves)</w:t>
            </w:r>
          </w:p>
        </w:tc>
      </w:tr>
      <w:tr>
        <w:trPr>
          <w:tblHeader w:val="false"/>
        </w:trPr>
        <w:tc>
          <w:tcPr>
            <w:tcW w:type="dxa" w:w="4500"/>
            <w:tcMar>
              <w:top w:type="dxa" w:w="80"/>
              <w:left w:type="dxa" w:w="100"/>
              <w:bottom w:type="dxa" w:w="80"/>
              <w:right w:type="dxa" w:w="100"/>
            </w:tcMar>
          </w:tcPr>
          <w:p>
            <w:pPr>
              <w:spacing w:after="0"/>
            </w:pPr>
            <w:r>
              <w:rPr>
                <w:b w:val="false"/>
                <w:bCs w:val="false"/>
                <w:i w:val="false"/>
                <w:iCs w:val="false"/>
              </w:rPr>
              <w:t xml:space="preserve">Fournisseur SMS</w:t>
            </w:r>
          </w:p>
        </w:tc>
        <w:tc>
          <w:tcPr>
            <w:tcW w:type="dxa" w:w="4500"/>
            <w:tcMar>
              <w:top w:type="dxa" w:w="80"/>
              <w:left w:type="dxa" w:w="100"/>
              <w:bottom w:type="dxa" w:w="80"/>
              <w:right w:type="dxa" w:w="100"/>
            </w:tcMar>
          </w:tcPr>
          <w:p>
            <w:pPr>
              <w:spacing w:after="0"/>
            </w:pPr>
            <w:r>
              <w:rPr>
                <w:b w:val="false"/>
                <w:bCs w:val="false"/>
                <w:i w:val="false"/>
                <w:iCs w:val="false"/>
              </w:rPr>
              <w:t xml:space="preserve">Envoi des codes de vérification (OTP)</w:t>
            </w:r>
          </w:p>
        </w:tc>
      </w:tr>
      <w:tr>
        <w:trPr>
          <w:tblHeader w:val="false"/>
        </w:trPr>
        <w:tc>
          <w:tcPr>
            <w:tcW w:type="dxa" w:w="4500"/>
            <w:tcMar>
              <w:top w:type="dxa" w:w="80"/>
              <w:left w:type="dxa" w:w="100"/>
              <w:bottom w:type="dxa" w:w="80"/>
              <w:right w:type="dxa" w:w="100"/>
            </w:tcMar>
          </w:tcPr>
          <w:p>
            <w:pPr>
              <w:spacing w:after="0"/>
            </w:pPr>
            <w:r>
              <w:rPr>
                <w:b w:val="false"/>
                <w:bCs w:val="false"/>
                <w:i w:val="false"/>
                <w:iCs w:val="false"/>
              </w:rPr>
              <w:t xml:space="preserve">WhatsApp Business API</w:t>
            </w:r>
          </w:p>
        </w:tc>
        <w:tc>
          <w:tcPr>
            <w:tcW w:type="dxa" w:w="4500"/>
            <w:tcMar>
              <w:top w:type="dxa" w:w="80"/>
              <w:left w:type="dxa" w:w="100"/>
              <w:bottom w:type="dxa" w:w="80"/>
              <w:right w:type="dxa" w:w="100"/>
            </w:tcMar>
          </w:tcPr>
          <w:p>
            <w:pPr>
              <w:spacing w:after="0"/>
            </w:pPr>
            <w:r>
              <w:rPr>
                <w:b w:val="false"/>
                <w:bCs w:val="false"/>
                <w:i w:val="false"/>
                <w:iCs w:val="false"/>
              </w:rPr>
              <w:t xml:space="preserve">Notifications de résumé de progression et rappels de renouvellement (canal optionnel, sur choix du Parent) — jamais utilisé pour l'envoi de codes de vérification</w:t>
            </w:r>
          </w:p>
        </w:tc>
      </w:tr>
    </w:tbl>
    <w:p>
      <w:pPr>
        <w:spacing w:after="160"/>
      </w:pPr>
    </w:p>
    <w:p>
      <w:pPr>
        <w:spacing w:after="160"/>
      </w:pPr>
      <w:r>
        <w:rPr>
          <w:b w:val="false"/>
          <w:bCs w:val="false"/>
          <w:i w:val="false"/>
          <w:iCs w:val="false"/>
        </w:rPr>
        <w:t xml:space="preserve">Ces services sont exploités par des tiers dont Klarity ne saurait être tenue responsable des évolutions techniques, indisponibilités ou modifications de conditions d'usage, sans préjudice de l'obligation de Klarity de maintenir un niveau de service raisonnable au bénéfice de ses Utilisateurs, décrite à l'Article 14 des Conditions Générales d'Utilisation.</w:t>
      </w:r>
    </w:p>
    <w:p>
      <w:pPr>
        <w:pStyle w:val="Heading1"/>
        <w:spacing w:after="200" w:before="360"/>
      </w:pPr>
      <w:r>
        <w:rPr>
          <w:b/>
          <w:bCs/>
          <w:sz w:val="26"/>
          <w:szCs w:val="26"/>
        </w:rPr>
        <w:t xml:space="preserve">ARTICLE 7 — COOKIES</w:t>
      </w:r>
    </w:p>
    <w:p>
      <w:pPr>
        <w:spacing w:after="160"/>
      </w:pPr>
      <w:r>
        <w:rPr>
          <w:b w:val="false"/>
          <w:bCs w:val="false"/>
          <w:i w:val="false"/>
          <w:iCs w:val="false"/>
        </w:rPr>
        <w:t xml:space="preserve">La Plateforme utilise uniquement les cookies strictement nécessaires à son fonctionnement, notamment au maintien de la session authentifiée de l'Utilisateur. Aucun cookie publicitaire ou de mesure d'audience à des fins commerciales n'est déposé. Le détail de cette politique figure dans la Politique de Confidentialité.</w:t>
      </w:r>
    </w:p>
    <w:p>
      <w:pPr>
        <w:pStyle w:val="Heading1"/>
        <w:spacing w:after="200" w:before="360"/>
      </w:pPr>
      <w:r>
        <w:rPr>
          <w:b/>
          <w:bCs/>
          <w:sz w:val="26"/>
          <w:szCs w:val="26"/>
        </w:rPr>
        <w:t xml:space="preserve">ARTICLE 8 — LIENS HYPERTEXTES</w:t>
      </w:r>
    </w:p>
    <w:p>
      <w:pPr>
        <w:spacing w:after="160"/>
      </w:pPr>
      <w:r>
        <w:rPr>
          <w:b w:val="false"/>
          <w:bCs w:val="false"/>
          <w:i w:val="false"/>
          <w:iCs w:val="false"/>
        </w:rPr>
        <w:t xml:space="preserve">La Plateforme peut contenir des liens ou intégrations renvoyant vers des contenus hébergés par des tiers, notamment des vidéos pédagogiques diffusées sur YouTube. Klarity n'exerce aucun contrôle sur le contenu de ces sites ou plateformes tiers et décline toute responsabilité quant à leur contenu, leur disponibilité ou leurs propres pratiques de traitement de données, régies par leurs conditions et politiques propres.</w:t>
      </w:r>
    </w:p>
    <w:p>
      <w:pPr>
        <w:pStyle w:val="Heading1"/>
        <w:spacing w:after="200" w:before="360"/>
      </w:pPr>
      <w:r>
        <w:rPr>
          <w:b/>
          <w:bCs/>
          <w:sz w:val="26"/>
          <w:szCs w:val="26"/>
        </w:rPr>
        <w:t xml:space="preserve">ARTICLE 9 — DISPONIBILITÉ ET RESPONSABILITÉ TECHNIQUE</w:t>
      </w:r>
    </w:p>
    <w:p>
      <w:pPr>
        <w:spacing w:after="160"/>
      </w:pPr>
      <w:r>
        <w:rPr>
          <w:b w:val="false"/>
          <w:bCs w:val="false"/>
          <w:i w:val="false"/>
          <w:iCs w:val="false"/>
        </w:rPr>
        <w:t xml:space="preserve">Klarity met en œuvre les moyens raisonnables pour assurer l'accès à la Plateforme mais ne peut garantir une disponibilité continue, notamment en raison de sa dépendance à des infrastructures tierces (fournisseur d'intelligence artificielle, hébergement, agrégateur de paiement, réseaux de télécommunication) et des contraintes de connectivité propres au contexte camerounais. Les conditions de responsabilité applicables à ces situations sont précisées aux Articles 14 et 15 des Conditions Générales d'Utilisation.</w:t>
      </w:r>
    </w:p>
    <w:p>
      <w:pPr>
        <w:spacing w:after="160"/>
      </w:pPr>
      <w:r>
        <w:rPr>
          <w:b w:val="false"/>
          <w:bCs w:val="false"/>
          <w:i w:val="false"/>
          <w:iCs w:val="false"/>
        </w:rPr>
        <w:t xml:space="preserve">Klarity ne saurait être tenue responsable des dommages directs ou indirects résultant d'une intrusion frauduleuse d'un tiers ayant entraîné une modification des informations mises à disposition sur la Plateforme, sous réserve des mesures de sécurité mises en œuvre et décrites dans la Politique de Confidentialité.</w:t>
      </w:r>
    </w:p>
    <w:p>
      <w:pPr>
        <w:pStyle w:val="Heading1"/>
        <w:spacing w:after="200" w:before="360"/>
      </w:pPr>
      <w:r>
        <w:rPr>
          <w:b/>
          <w:bCs/>
          <w:sz w:val="26"/>
          <w:szCs w:val="26"/>
        </w:rPr>
        <w:t xml:space="preserve">ARTICLE 10 — DROIT APPLICABLE ET JURIDICTION</w:t>
      </w:r>
    </w:p>
    <w:p>
      <w:pPr>
        <w:spacing w:after="160"/>
      </w:pPr>
      <w:r>
        <w:rPr>
          <w:b w:val="false"/>
          <w:bCs w:val="false"/>
          <w:i w:val="false"/>
          <w:iCs w:val="false"/>
        </w:rPr>
        <w:t xml:space="preserve">Les présentes Mentions Légales sont soumises au droit camerounais. Tout litige relatif à leur interprétation ou à leur exécution relève, à défaut de règlement amiable, de la compétence des juridictions camerounaises, dans les conditions précisées à l'Article 17 des Conditions Générales d'Utilisation.</w:t>
      </w:r>
    </w:p>
    <w:p>
      <w:pPr>
        <w:pStyle w:val="Heading1"/>
        <w:spacing w:after="200" w:before="360"/>
      </w:pPr>
      <w:r>
        <w:rPr>
          <w:b/>
          <w:bCs/>
          <w:sz w:val="26"/>
          <w:szCs w:val="26"/>
        </w:rPr>
        <w:t xml:space="preserve">ARTICLE 11 — CONTACT</w:t>
      </w:r>
    </w:p>
    <w:p>
      <w:pPr>
        <w:spacing w:after="160"/>
      </w:pPr>
      <w:r>
        <w:rPr>
          <w:b w:val="false"/>
          <w:bCs w:val="false"/>
          <w:i w:val="false"/>
          <w:iCs w:val="false"/>
        </w:rPr>
        <w:t xml:space="preserve">Pour toute question relative à la Plateforme, à son édition ou aux présentes Mentions Légales, l'Utilisateur peut s'adresser à Klarity par les canaux de contact communiqués sur la Plateforme. Pour toute question relative au traitement de ses données à caractère personnel, il est invité à se référer à l'Article 12 de la Politique de Confidentialité.</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2026-09-13T16:02:22.325Z</dcterms:created>
  <dcterms:modified xsi:type="dcterms:W3CDTF">2026-09-13T16:02:22.334Z</dcterms:modified>
</cp:coreProperties>
</file>

<file path=docProps/custom.xml><?xml version="1.0" encoding="utf-8"?>
<Properties xmlns="http://schemas.openxmlformats.org/officeDocument/2006/custom-properties" xmlns:vt="http://schemas.openxmlformats.org/officeDocument/2006/docPropsVTypes"/>
</file>