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200"/>
        <w:jc w:val="center"/>
      </w:pPr>
      <w:r>
        <w:rPr>
          <w:rFonts w:ascii="Calibri" w:cs="Calibri" w:eastAsia="Calibri" w:hAnsi="Calibri"/>
          <w:b/>
          <w:bCs/>
          <w:color w:val="1B2A4A"/>
          <w:sz w:val="64"/>
          <w:szCs w:val="64"/>
        </w:rPr>
        <w:t xml:space="preserve">KLARITY</w:t>
      </w:r>
    </w:p>
    <w:p>
      <w:pPr>
        <w:spacing w:after="100" w:before="100"/>
        <w:jc w:val="center"/>
      </w:pPr>
      <w:r>
        <w:rPr>
          <w:rFonts w:ascii="Calibri" w:cs="Calibri" w:eastAsia="Calibri" w:hAnsi="Calibri"/>
          <w:b/>
          <w:bCs/>
          <w:color w:val="B8862B"/>
          <w:sz w:val="32"/>
          <w:szCs w:val="32"/>
        </w:rPr>
        <w:t xml:space="preserve">POLITIQUE DE CONFIDENTIALITÉ</w:t>
      </w:r>
    </w:p>
    <w:p>
      <w:pPr>
        <w:spacing w:after="700" w:before="0"/>
        <w:jc w:val="center"/>
      </w:pPr>
      <w:r>
        <w:rPr>
          <w:rFonts w:ascii="Calibri" w:cs="Calibri" w:eastAsia="Calibri" w:hAnsi="Calibri"/>
          <w:i/>
          <w:iCs/>
          <w:color w:val="5B6472"/>
          <w:sz w:val="22"/>
          <w:szCs w:val="22"/>
        </w:rPr>
        <w:t xml:space="preserve">Protection des données à caractère personnel — Élèves, Parents, Cameroun</w:t>
      </w:r>
    </w:p>
    <w:p>
      <w:pPr>
        <w:spacing w:after="60"/>
        <w:jc w:val="center"/>
      </w:pPr>
      <w:r>
        <w:rPr>
          <w:rFonts w:ascii="Calibri" w:cs="Calibri" w:eastAsia="Calibri" w:hAnsi="Calibri"/>
          <w:color w:val="333333"/>
          <w:sz w:val="20"/>
          <w:szCs w:val="20"/>
        </w:rPr>
        <w:t xml:space="preserve">Document complémentaire aux Conditions Générales d'Utilisation de Klarity</w:t>
      </w:r>
    </w:p>
    <w:p>
      <w:pPr>
        <w:spacing w:after="60"/>
        <w:jc w:val="center"/>
      </w:pPr>
      <w:r>
        <w:rPr>
          <w:rFonts w:ascii="Calibri" w:cs="Calibri" w:eastAsia="Calibri" w:hAnsi="Calibri"/>
          <w:color w:val="333333"/>
          <w:sz w:val="20"/>
          <w:szCs w:val="20"/>
        </w:rPr>
        <w:t xml:space="preserve">Version 1.0 — 15 août 2026</w:t>
      </w:r>
    </w:p>
    <w:p>
      <w:pPr>
        <w:spacing w:after="200"/>
        <w:jc w:val="center"/>
      </w:pPr>
      <w:r>
        <w:rPr>
          <w:rFonts w:ascii="Calibri" w:cs="Calibri" w:eastAsia="Calibri" w:hAnsi="Calibri"/>
          <w:i/>
          <w:iCs/>
          <w:color w:val="5B6472"/>
          <w:sz w:val="18"/>
          <w:szCs w:val="18"/>
        </w:rPr>
        <w:t xml:space="preserve">Document à faire valider par un avocat inscrit au Barreau du Cameroun avant publication</w:t>
      </w:r>
    </w:p>
    <w:p>
      <w:r>
        <w:br w:type="page"/>
      </w:r>
    </w:p>
    <w:p>
      <w:pPr>
        <w:pStyle w:val="Heading1"/>
        <w:pBdr>
          <w:bottom w:val="single" w:color="B8862B" w:sz="6" w:space="4"/>
        </w:pBdr>
        <w:spacing w:after="200" w:before="420"/>
      </w:pPr>
      <w:r>
        <w:rPr>
          <w:rFonts w:ascii="Calibri" w:cs="Calibri" w:eastAsia="Calibri" w:hAnsi="Calibri"/>
          <w:b/>
          <w:bCs/>
          <w:color w:val="1B2A4A"/>
          <w:sz w:val="27"/>
          <w:szCs w:val="27"/>
        </w:rPr>
        <w:t xml:space="preserve">PRÉAMBULE</w:t>
      </w:r>
    </w:p>
    <w:p>
      <w:pPr>
        <w:spacing w:after="160" w:line="300"/>
        <w:jc w:val="both"/>
      </w:pPr>
      <w:r>
        <w:rPr>
          <w:rFonts w:ascii="Calibri" w:cs="Calibri" w:eastAsia="Calibri" w:hAnsi="Calibri"/>
          <w:sz w:val="21"/>
          <w:szCs w:val="21"/>
        </w:rPr>
        <w:t xml:space="preserve">La présente Politique de Confidentialité décrit la manière dont Klarity (ci-après « nous », « l'Éditeur ») collecte, utilise, partage, conserve et protège les données à caractère personnel des Utilisateurs de sa plateforme éducative — Élèves, Parents et Administrateurs — dans le cadre des services décrits dans les Conditions Générales d'Utilisation (CGU).</w:t>
      </w:r>
    </w:p>
    <w:p>
      <w:pPr>
        <w:spacing w:after="160" w:line="300"/>
        <w:jc w:val="both"/>
      </w:pPr>
      <w:r>
        <w:rPr>
          <w:rFonts w:ascii="Calibri" w:cs="Calibri" w:eastAsia="Calibri" w:hAnsi="Calibri"/>
          <w:sz w:val="21"/>
          <w:szCs w:val="21"/>
        </w:rPr>
        <w:t xml:space="preserve">Klarity accorde une attention particulière à la protection des données car la quasi-totalité de ses Utilisateurs finaux sont des mineurs scolarisés en classe de 3ème, 1ère ou Terminale. Cette Politique a été conçue pour rendre lisible, y compris par un Parent non spécialiste, l'ensemble des traitements réalisés sur les données de son enfant.</w:t>
      </w:r>
    </w:p>
    <w:p>
      <w:pPr>
        <w:spacing w:after="160" w:line="300"/>
        <w:jc w:val="both"/>
      </w:pPr>
      <w:r>
        <w:rPr>
          <w:rFonts w:ascii="Calibri" w:cs="Calibri" w:eastAsia="Calibri" w:hAnsi="Calibri"/>
          <w:sz w:val="21"/>
          <w:szCs w:val="21"/>
        </w:rPr>
        <w:t xml:space="preserve">Elle est rédigée conformément à la Loi n°2024/017 du 23 décembre 2024 relative à la protection des données à caractère personnel au Cameroun (ci-après « la Loi »), ainsi qu'aux dispositions pertinentes de la Loi n°2010/012 du 21 décembre 2010 relative à la cybersécurité et à la cybercriminalité au Cameroun. En cas de contradiction entre la présente Politique et les CGU sur une question de protection des données, la présente Politique prévaut.</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1 — RESPONSABLE DU TRAITEMENT</w:t>
      </w:r>
    </w:p>
    <w:p>
      <w:pPr>
        <w:spacing w:after="160" w:line="300"/>
        <w:jc w:val="both"/>
      </w:pPr>
      <w:r>
        <w:rPr>
          <w:rFonts w:ascii="Calibri" w:cs="Calibri" w:eastAsia="Calibri" w:hAnsi="Calibri"/>
          <w:sz w:val="21"/>
          <w:szCs w:val="21"/>
        </w:rPr>
        <w:t xml:space="preserve">Le responsable du traitement des données à caractère personnel collectées via la Plateforme Klarity est l'entité éditrice de Klarity.</w:t>
      </w:r>
    </w:p>
    <w:p>
      <w:pPr>
        <w:spacing w:after="160" w:line="300"/>
        <w:jc w:val="both"/>
      </w:pPr>
      <w:r>
        <w:rPr>
          <w:rFonts w:ascii="Calibri" w:cs="Calibri" w:eastAsia="Calibri" w:hAnsi="Calibri"/>
          <w:sz w:val="21"/>
          <w:szCs w:val="21"/>
        </w:rPr>
        <w:t xml:space="preserve">[Raison sociale à compléter], dont le siège est situé [adresse à compléter], immatriculée [numéro RCCM / NIU à compléter], ci-après « Klarity » ou « nous ».</w:t>
      </w:r>
    </w:p>
    <w:p>
      <w:pPr>
        <w:spacing w:after="160" w:line="300"/>
        <w:jc w:val="both"/>
      </w:pPr>
      <w:r>
        <w:rPr>
          <w:rFonts w:ascii="Calibri" w:cs="Calibri" w:eastAsia="Calibri" w:hAnsi="Calibri"/>
          <w:sz w:val="21"/>
          <w:szCs w:val="21"/>
        </w:rPr>
        <w:t>Klarity a désigné un Délégué à la Protection des Données (DPO), interlocuteur privilégié pour toute question relative au traitement des données personnelles et à l'exercice des droits décrits à l'Article 12. Coordonnées : cowen.noumbou@gmail.com — +237 681 74 19 73. Une adresse électronique dédiée (ex. dpo@klarity.cm), distincte de ce contact général, est recommandée avant la mise en production.</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2 — CHAMP D'APPLICATION</w:t>
      </w:r>
    </w:p>
    <w:p>
      <w:pPr>
        <w:spacing w:after="160" w:line="300"/>
        <w:jc w:val="both"/>
      </w:pPr>
      <w:r>
        <w:rPr>
          <w:rFonts w:ascii="Calibri" w:cs="Calibri" w:eastAsia="Calibri" w:hAnsi="Calibri"/>
          <w:sz w:val="21"/>
          <w:szCs w:val="21"/>
        </w:rPr>
        <w:t xml:space="preserve">La présente Politique s'applique à tout traitement de données à caractère personnel réalisé dans le cadre de l'utilisation de la Plateforme Klarity, quel que soit le canal d'accès (site web ou WhatsApp), et concerne :</w:t>
      </w:r>
    </w:p>
    <w:p>
      <w:pPr>
        <w:pStyle w:val="ListParagraph"/>
        <w:numPr>
          <w:ilvl w:val="0"/>
          <w:numId w:val="2"/>
        </w:numPr>
        <w:spacing w:after="90" w:line="290"/>
        <w:jc w:val="both"/>
      </w:pPr>
      <w:r>
        <w:rPr>
          <w:rFonts w:ascii="Calibri" w:cs="Calibri" w:eastAsia="Calibri" w:hAnsi="Calibri"/>
          <w:sz w:val="21"/>
          <w:szCs w:val="21"/>
        </w:rPr>
        <w:t xml:space="preserve">les données de l'Élève, collectées à l'inscription et générées par son usage de la Plateforme ;</w:t>
      </w:r>
    </w:p>
    <w:p>
      <w:pPr>
        <w:pStyle w:val="ListParagraph"/>
        <w:numPr>
          <w:ilvl w:val="0"/>
          <w:numId w:val="2"/>
        </w:numPr>
        <w:spacing w:after="90" w:line="290"/>
        <w:jc w:val="both"/>
      </w:pPr>
      <w:r>
        <w:rPr>
          <w:rFonts w:ascii="Calibri" w:cs="Calibri" w:eastAsia="Calibri" w:hAnsi="Calibri"/>
          <w:sz w:val="21"/>
          <w:szCs w:val="21"/>
        </w:rPr>
        <w:t xml:space="preserve">les données du Parent ou représentant légal, collectées lors de l'établissement du lien vérifié avec l'Élève ;</w:t>
      </w:r>
    </w:p>
    <w:p>
      <w:pPr>
        <w:pStyle w:val="ListParagraph"/>
        <w:numPr>
          <w:ilvl w:val="0"/>
          <w:numId w:val="2"/>
        </w:numPr>
        <w:spacing w:after="90" w:line="290"/>
        <w:jc w:val="both"/>
      </w:pPr>
      <w:r>
        <w:rPr>
          <w:rFonts w:ascii="Calibri" w:cs="Calibri" w:eastAsia="Calibri" w:hAnsi="Calibri"/>
          <w:sz w:val="21"/>
          <w:szCs w:val="21"/>
        </w:rPr>
        <w:t xml:space="preserve">les données de l'Administrateur, dans le cadre de la gestion du back-office ;</w:t>
      </w:r>
    </w:p>
    <w:p>
      <w:pPr>
        <w:pStyle w:val="ListParagraph"/>
        <w:numPr>
          <w:ilvl w:val="0"/>
          <w:numId w:val="2"/>
        </w:numPr>
        <w:spacing w:after="90" w:line="290"/>
        <w:jc w:val="both"/>
      </w:pPr>
      <w:r>
        <w:rPr>
          <w:rFonts w:ascii="Calibri" w:cs="Calibri" w:eastAsia="Calibri" w:hAnsi="Calibri"/>
          <w:sz w:val="21"/>
          <w:szCs w:val="21"/>
        </w:rPr>
        <w:t xml:space="preserve">les données techniques générées automatiquement par la navigation et l'usage des fonctionnalités (journaux, sécurité, usage de l'intelligence artificielle).</w:t>
      </w:r>
    </w:p>
    <w:p>
      <w:pPr>
        <w:spacing w:after="160" w:line="300"/>
        <w:jc w:val="both"/>
      </w:pPr>
      <w:r>
        <w:rPr>
          <w:rFonts w:ascii="Calibri" w:cs="Calibri" w:eastAsia="Calibri" w:hAnsi="Calibri"/>
          <w:sz w:val="21"/>
          <w:szCs w:val="21"/>
        </w:rPr>
        <w:t xml:space="preserve">Elle ne couvre pas les traitements réalisés par des sites tiers vers lesquels la Plateforme pourrait renvoyer (par exemple les vidéos YouTube), lesquels disposent de leur propre politique de confidentialité.</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3 — DONNÉES COLLECTÉES</w:t>
      </w:r>
    </w:p>
    <w:p>
      <w:pPr>
        <w:pStyle w:val="Heading2"/>
        <w:spacing w:after="140" w:before="260"/>
      </w:pPr>
      <w:r>
        <w:rPr>
          <w:rFonts w:ascii="Calibri" w:cs="Calibri" w:eastAsia="Calibri" w:hAnsi="Calibri"/>
          <w:b/>
          <w:bCs/>
          <w:color w:val="1B2A4A"/>
          <w:sz w:val="23"/>
          <w:szCs w:val="23"/>
        </w:rPr>
        <w:t xml:space="preserve">3.1 Données relatives à l'Élève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5600"/>
        <w:gridCol w:w="1600"/>
      </w:tblGrid>
      <w:tr>
        <w:trPr>
          <w:tblHeader/>
        </w:trPr>
        <w:tc>
          <w:tcPr>
            <w:shd w:fill="1B2A4A" w:val="clear"/>
            <w:tcMar>
              <w:top w:type="dxa" w:w="100"/>
              <w:left w:type="dxa" w:w="120"/>
              <w:bottom w:type="dxa" w:w="100"/>
              <w:right w:type="dxa" w:w="120"/>
            </w:tcMar>
          </w:tcPr>
          <w:p>
            <w:r>
              <w:rPr>
                <w:b/>
                <w:bCs/>
                <w:color w:val="FFFFFF"/>
                <w:sz w:val="19"/>
                <w:szCs w:val="19"/>
              </w:rPr>
              <w:t xml:space="preserve">Catégorie</w:t>
            </w:r>
          </w:p>
        </w:tc>
        <w:tc>
          <w:tcPr>
            <w:shd w:fill="1B2A4A" w:val="clear"/>
            <w:tcMar>
              <w:top w:type="dxa" w:w="100"/>
              <w:left w:type="dxa" w:w="120"/>
              <w:bottom w:type="dxa" w:w="100"/>
              <w:right w:type="dxa" w:w="120"/>
            </w:tcMar>
          </w:tcPr>
          <w:p>
            <w:r>
              <w:rPr>
                <w:b/>
                <w:bCs/>
                <w:color w:val="FFFFFF"/>
                <w:sz w:val="19"/>
                <w:szCs w:val="19"/>
              </w:rPr>
              <w:t xml:space="preserve">Exemples</w:t>
            </w:r>
          </w:p>
        </w:tc>
        <w:tc>
          <w:tcPr>
            <w:shd w:fill="1B2A4A" w:val="clear"/>
            <w:tcMar>
              <w:top w:type="dxa" w:w="100"/>
              <w:left w:type="dxa" w:w="120"/>
              <w:bottom w:type="dxa" w:w="100"/>
              <w:right w:type="dxa" w:w="120"/>
            </w:tcMar>
          </w:tcPr>
          <w:p>
            <w:r>
              <w:rPr>
                <w:b/>
                <w:bCs/>
                <w:color w:val="FFFFFF"/>
                <w:sz w:val="19"/>
                <w:szCs w:val="19"/>
              </w:rPr>
              <w:t xml:space="preserve">Origine</w:t>
            </w:r>
          </w:p>
        </w:tc>
      </w:tr>
      <w:tr>
        <w:tc>
          <w:tcPr>
            <w:tcMar>
              <w:top w:type="dxa" w:w="100"/>
              <w:left w:type="dxa" w:w="120"/>
              <w:bottom w:type="dxa" w:w="100"/>
              <w:right w:type="dxa" w:w="120"/>
            </w:tcMar>
          </w:tcPr>
          <w:p>
            <w:r>
              <w:rPr>
                <w:sz w:val="19"/>
                <w:szCs w:val="19"/>
              </w:rPr>
              <w:t xml:space="preserve">Identification</w:t>
            </w:r>
          </w:p>
        </w:tc>
        <w:tc>
          <w:tcPr>
            <w:tcMar>
              <w:top w:type="dxa" w:w="100"/>
              <w:left w:type="dxa" w:w="120"/>
              <w:bottom w:type="dxa" w:w="100"/>
              <w:right w:type="dxa" w:w="120"/>
            </w:tcMar>
          </w:tcPr>
          <w:p>
            <w:r>
              <w:rPr>
                <w:sz w:val="19"/>
                <w:szCs w:val="19"/>
              </w:rPr>
              <w:t xml:space="preserve">Nom, classe, filière, langue, Code Élève (ELE-XXX-XXX)</w:t>
            </w:r>
          </w:p>
        </w:tc>
        <w:tc>
          <w:tcPr>
            <w:tcMar>
              <w:top w:type="dxa" w:w="100"/>
              <w:left w:type="dxa" w:w="120"/>
              <w:bottom w:type="dxa" w:w="100"/>
              <w:right w:type="dxa" w:w="120"/>
            </w:tcMar>
          </w:tcPr>
          <w:p>
            <w:r>
              <w:rPr>
                <w:sz w:val="19"/>
                <w:szCs w:val="19"/>
              </w:rPr>
              <w:t xml:space="preserve">Saisie à l'inscription</w:t>
            </w:r>
          </w:p>
        </w:tc>
      </w:tr>
      <w:tr>
        <w:tc>
          <w:tcPr>
            <w:tcMar>
              <w:top w:type="dxa" w:w="100"/>
              <w:left w:type="dxa" w:w="120"/>
              <w:bottom w:type="dxa" w:w="100"/>
              <w:right w:type="dxa" w:w="120"/>
            </w:tcMar>
          </w:tcPr>
          <w:p>
            <w:r>
              <w:rPr>
                <w:sz w:val="19"/>
                <w:szCs w:val="19"/>
              </w:rPr>
              <w:t xml:space="preserve">Pédagogique</w:t>
            </w:r>
          </w:p>
        </w:tc>
        <w:tc>
          <w:tcPr>
            <w:tcMar>
              <w:top w:type="dxa" w:w="100"/>
              <w:left w:type="dxa" w:w="120"/>
              <w:bottom w:type="dxa" w:w="100"/>
              <w:right w:type="dxa" w:w="120"/>
            </w:tcMar>
          </w:tcPr>
          <w:p>
            <w:r>
              <w:rPr>
                <w:sz w:val="19"/>
                <w:szCs w:val="19"/>
              </w:rPr>
              <w:t xml:space="preserve">Photographies de copies, notes, corrigés, historique de tentatives, lacunes détectées, réponses aux quiz</w:t>
            </w:r>
          </w:p>
        </w:tc>
        <w:tc>
          <w:tcPr>
            <w:tcMar>
              <w:top w:type="dxa" w:w="100"/>
              <w:left w:type="dxa" w:w="120"/>
              <w:bottom w:type="dxa" w:w="100"/>
              <w:right w:type="dxa" w:w="120"/>
            </w:tcMar>
          </w:tcPr>
          <w:p>
            <w:r>
              <w:rPr>
                <w:sz w:val="19"/>
                <w:szCs w:val="19"/>
              </w:rPr>
              <w:t xml:space="preserve">Usage de la Plateforme</w:t>
            </w:r>
          </w:p>
        </w:tc>
      </w:tr>
      <w:tr>
        <w:tc>
          <w:tcPr>
            <w:tcMar>
              <w:top w:type="dxa" w:w="100"/>
              <w:left w:type="dxa" w:w="120"/>
              <w:bottom w:type="dxa" w:w="100"/>
              <w:right w:type="dxa" w:w="120"/>
            </w:tcMar>
          </w:tcPr>
          <w:p>
            <w:r>
              <w:rPr>
                <w:sz w:val="19"/>
                <w:szCs w:val="19"/>
              </w:rPr>
              <w:t xml:space="preserve">Échanges IA</w:t>
            </w:r>
          </w:p>
        </w:tc>
        <w:tc>
          <w:tcPr>
            <w:tcMar>
              <w:top w:type="dxa" w:w="100"/>
              <w:left w:type="dxa" w:w="120"/>
              <w:bottom w:type="dxa" w:w="100"/>
              <w:right w:type="dxa" w:w="120"/>
            </w:tcMar>
          </w:tcPr>
          <w:p>
            <w:r>
              <w:rPr>
                <w:sz w:val="19"/>
                <w:szCs w:val="19"/>
              </w:rPr>
              <w:t xml:space="preserve">Contenu des messages échangés avec le chat-tuteur</w:t>
            </w:r>
          </w:p>
        </w:tc>
        <w:tc>
          <w:tcPr>
            <w:tcMar>
              <w:top w:type="dxa" w:w="100"/>
              <w:left w:type="dxa" w:w="120"/>
              <w:bottom w:type="dxa" w:w="100"/>
              <w:right w:type="dxa" w:w="120"/>
            </w:tcMar>
          </w:tcPr>
          <w:p>
            <w:r>
              <w:rPr>
                <w:sz w:val="19"/>
                <w:szCs w:val="19"/>
              </w:rPr>
              <w:t xml:space="preserve">Usage de la Plateforme</w:t>
            </w:r>
          </w:p>
        </w:tc>
      </w:tr>
      <w:tr>
        <w:tc>
          <w:tcPr>
            <w:tcMar>
              <w:top w:type="dxa" w:w="100"/>
              <w:left w:type="dxa" w:w="120"/>
              <w:bottom w:type="dxa" w:w="100"/>
              <w:right w:type="dxa" w:w="120"/>
            </w:tcMar>
          </w:tcPr>
          <w:p>
            <w:r>
              <w:rPr>
                <w:sz w:val="19"/>
                <w:szCs w:val="19"/>
              </w:rPr>
              <w:t xml:space="preserve">Usage</w:t>
            </w:r>
          </w:p>
        </w:tc>
        <w:tc>
          <w:tcPr>
            <w:tcMar>
              <w:top w:type="dxa" w:w="100"/>
              <w:left w:type="dxa" w:w="120"/>
              <w:bottom w:type="dxa" w:w="100"/>
              <w:right w:type="dxa" w:w="120"/>
            </w:tcMar>
          </w:tcPr>
          <w:p>
            <w:r>
              <w:rPr>
                <w:sz w:val="19"/>
                <w:szCs w:val="19"/>
              </w:rPr>
              <w:t xml:space="preserve">Temps passé par session, canal utilisé (web / WhatsApp), date et heure de connexion</w:t>
            </w:r>
          </w:p>
        </w:tc>
        <w:tc>
          <w:tcPr>
            <w:tcMar>
              <w:top w:type="dxa" w:w="100"/>
              <w:left w:type="dxa" w:w="120"/>
              <w:bottom w:type="dxa" w:w="100"/>
              <w:right w:type="dxa" w:w="120"/>
            </w:tcMar>
          </w:tcPr>
          <w:p>
            <w:r>
              <w:rPr>
                <w:sz w:val="19"/>
                <w:szCs w:val="19"/>
              </w:rPr>
              <w:t xml:space="preserve">Collecte automatique</w:t>
            </w:r>
          </w:p>
        </w:tc>
      </w:tr>
      <w:tr>
        <w:tc>
          <w:tcPr>
            <w:tcMar>
              <w:top w:type="dxa" w:w="100"/>
              <w:left w:type="dxa" w:w="120"/>
              <w:bottom w:type="dxa" w:w="100"/>
              <w:right w:type="dxa" w:w="120"/>
            </w:tcMar>
          </w:tcPr>
          <w:p>
            <w:r>
              <w:rPr>
                <w:sz w:val="19"/>
                <w:szCs w:val="19"/>
              </w:rPr>
              <w:t xml:space="preserve">Abonnement</w:t>
            </w:r>
          </w:p>
        </w:tc>
        <w:tc>
          <w:tcPr>
            <w:tcMar>
              <w:top w:type="dxa" w:w="100"/>
              <w:left w:type="dxa" w:w="120"/>
              <w:bottom w:type="dxa" w:w="100"/>
              <w:right w:type="dxa" w:w="120"/>
            </w:tcMar>
          </w:tcPr>
          <w:p>
            <w:r>
              <w:rPr>
                <w:sz w:val="19"/>
                <w:szCs w:val="19"/>
              </w:rPr>
              <w:t xml:space="preserve">Plan souscrit, statut de l'abonnement, historique de renouvellement</w:t>
            </w:r>
          </w:p>
        </w:tc>
        <w:tc>
          <w:tcPr>
            <w:tcMar>
              <w:top w:type="dxa" w:w="100"/>
              <w:left w:type="dxa" w:w="120"/>
              <w:bottom w:type="dxa" w:w="100"/>
              <w:right w:type="dxa" w:w="120"/>
            </w:tcMar>
          </w:tcPr>
          <w:p>
            <w:r>
              <w:rPr>
                <w:sz w:val="19"/>
                <w:szCs w:val="19"/>
              </w:rPr>
              <w:t xml:space="preserve">Gestion de l'abonnement</w:t>
            </w:r>
          </w:p>
        </w:tc>
      </w:tr>
    </w:tbl>
    <w:p>
      <w:pPr>
        <w:spacing w:after="120"/>
      </w:pPr>
    </w:p>
    <w:p>
      <w:pPr>
        <w:pStyle w:val="Heading2"/>
        <w:spacing w:after="140" w:before="260"/>
      </w:pPr>
      <w:r>
        <w:rPr>
          <w:rFonts w:ascii="Calibri" w:cs="Calibri" w:eastAsia="Calibri" w:hAnsi="Calibri"/>
          <w:b/>
          <w:bCs/>
          <w:color w:val="1B2A4A"/>
          <w:sz w:val="23"/>
          <w:szCs w:val="23"/>
        </w:rPr>
        <w:t xml:space="preserve">3.2 Données relatives au Parent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5600"/>
        <w:gridCol w:w="1600"/>
      </w:tblGrid>
      <w:tr>
        <w:trPr>
          <w:tblHeader/>
        </w:trPr>
        <w:tc>
          <w:tcPr>
            <w:shd w:fill="1B2A4A" w:val="clear"/>
            <w:tcMar>
              <w:top w:type="dxa" w:w="100"/>
              <w:left w:type="dxa" w:w="120"/>
              <w:bottom w:type="dxa" w:w="100"/>
              <w:right w:type="dxa" w:w="120"/>
            </w:tcMar>
          </w:tcPr>
          <w:p>
            <w:r>
              <w:rPr>
                <w:b/>
                <w:bCs/>
                <w:color w:val="FFFFFF"/>
                <w:sz w:val="19"/>
                <w:szCs w:val="19"/>
              </w:rPr>
              <w:t xml:space="preserve">Catégorie</w:t>
            </w:r>
          </w:p>
        </w:tc>
        <w:tc>
          <w:tcPr>
            <w:shd w:fill="1B2A4A" w:val="clear"/>
            <w:tcMar>
              <w:top w:type="dxa" w:w="100"/>
              <w:left w:type="dxa" w:w="120"/>
              <w:bottom w:type="dxa" w:w="100"/>
              <w:right w:type="dxa" w:w="120"/>
            </w:tcMar>
          </w:tcPr>
          <w:p>
            <w:r>
              <w:rPr>
                <w:b/>
                <w:bCs/>
                <w:color w:val="FFFFFF"/>
                <w:sz w:val="19"/>
                <w:szCs w:val="19"/>
              </w:rPr>
              <w:t xml:space="preserve">Exemples</w:t>
            </w:r>
          </w:p>
        </w:tc>
        <w:tc>
          <w:tcPr>
            <w:shd w:fill="1B2A4A" w:val="clear"/>
            <w:tcMar>
              <w:top w:type="dxa" w:w="100"/>
              <w:left w:type="dxa" w:w="120"/>
              <w:bottom w:type="dxa" w:w="100"/>
              <w:right w:type="dxa" w:w="120"/>
            </w:tcMar>
          </w:tcPr>
          <w:p>
            <w:r>
              <w:rPr>
                <w:b/>
                <w:bCs/>
                <w:color w:val="FFFFFF"/>
                <w:sz w:val="19"/>
                <w:szCs w:val="19"/>
              </w:rPr>
              <w:t xml:space="preserve">Origine</w:t>
            </w:r>
          </w:p>
        </w:tc>
      </w:tr>
      <w:tr>
        <w:tc>
          <w:tcPr>
            <w:tcMar>
              <w:top w:type="dxa" w:w="100"/>
              <w:left w:type="dxa" w:w="120"/>
              <w:bottom w:type="dxa" w:w="100"/>
              <w:right w:type="dxa" w:w="120"/>
            </w:tcMar>
          </w:tcPr>
          <w:p>
            <w:r>
              <w:rPr>
                <w:sz w:val="19"/>
                <w:szCs w:val="19"/>
              </w:rPr>
              <w:t xml:space="preserve">Identification et contact</w:t>
            </w:r>
          </w:p>
        </w:tc>
        <w:tc>
          <w:tcPr>
            <w:tcMar>
              <w:top w:type="dxa" w:w="100"/>
              <w:left w:type="dxa" w:w="120"/>
              <w:bottom w:type="dxa" w:w="100"/>
              <w:right w:type="dxa" w:w="120"/>
            </w:tcMar>
          </w:tcPr>
          <w:p>
            <w:r>
              <w:rPr>
                <w:sz w:val="19"/>
                <w:szCs w:val="19"/>
              </w:rPr>
              <w:t xml:space="preserve">Numéro de téléphone, date de la dernière connexion</w:t>
            </w:r>
          </w:p>
        </w:tc>
        <w:tc>
          <w:tcPr>
            <w:tcMar>
              <w:top w:type="dxa" w:w="100"/>
              <w:left w:type="dxa" w:w="120"/>
              <w:bottom w:type="dxa" w:w="100"/>
              <w:right w:type="dxa" w:w="120"/>
            </w:tcMar>
          </w:tcPr>
          <w:p>
            <w:r>
              <w:rPr>
                <w:sz w:val="19"/>
                <w:szCs w:val="19"/>
              </w:rPr>
              <w:t xml:space="preserve">Saisie lors de la vérification du lien</w:t>
            </w:r>
          </w:p>
        </w:tc>
      </w:tr>
      <w:tr>
        <w:tc>
          <w:tcPr>
            <w:tcMar>
              <w:top w:type="dxa" w:w="100"/>
              <w:left w:type="dxa" w:w="120"/>
              <w:bottom w:type="dxa" w:w="100"/>
              <w:right w:type="dxa" w:w="120"/>
            </w:tcMar>
          </w:tcPr>
          <w:p>
            <w:r>
              <w:rPr>
                <w:sz w:val="19"/>
                <w:szCs w:val="19"/>
              </w:rPr>
              <w:t xml:space="preserve">Vérification</w:t>
            </w:r>
          </w:p>
        </w:tc>
        <w:tc>
          <w:tcPr>
            <w:tcMar>
              <w:top w:type="dxa" w:w="100"/>
              <w:left w:type="dxa" w:w="120"/>
              <w:bottom w:type="dxa" w:w="100"/>
              <w:right w:type="dxa" w:w="120"/>
            </w:tcMar>
          </w:tcPr>
          <w:p>
            <w:r>
              <w:rPr>
                <w:sz w:val="19"/>
                <w:szCs w:val="19"/>
              </w:rPr>
              <w:t xml:space="preserve">Code de vérification (OTP) — jamais conservé en clair, uniquement sous forme hachée</w:t>
            </w:r>
          </w:p>
        </w:tc>
        <w:tc>
          <w:tcPr>
            <w:tcMar>
              <w:top w:type="dxa" w:w="100"/>
              <w:left w:type="dxa" w:w="120"/>
              <w:bottom w:type="dxa" w:w="100"/>
              <w:right w:type="dxa" w:w="120"/>
            </w:tcMar>
          </w:tcPr>
          <w:p>
            <w:r>
              <w:rPr>
                <w:sz w:val="19"/>
                <w:szCs w:val="19"/>
              </w:rPr>
              <w:t xml:space="preserve">Génération automatique</w:t>
            </w:r>
          </w:p>
        </w:tc>
      </w:tr>
      <w:tr>
        <w:tc>
          <w:tcPr>
            <w:tcMar>
              <w:top w:type="dxa" w:w="100"/>
              <w:left w:type="dxa" w:w="120"/>
              <w:bottom w:type="dxa" w:w="100"/>
              <w:right w:type="dxa" w:w="120"/>
            </w:tcMar>
          </w:tcPr>
          <w:p>
            <w:r>
              <w:rPr>
                <w:sz w:val="19"/>
                <w:szCs w:val="19"/>
              </w:rPr>
              <w:t xml:space="preserve">Paiement</w:t>
            </w:r>
          </w:p>
        </w:tc>
        <w:tc>
          <w:tcPr>
            <w:tcMar>
              <w:top w:type="dxa" w:w="100"/>
              <w:left w:type="dxa" w:w="120"/>
              <w:bottom w:type="dxa" w:w="100"/>
              <w:right w:type="dxa" w:w="120"/>
            </w:tcMar>
          </w:tcPr>
          <w:p>
            <w:r>
              <w:rPr>
                <w:sz w:val="19"/>
                <w:szCs w:val="19"/>
              </w:rPr>
              <w:t xml:space="preserve">Numéro de téléphone du payeur, méthode de paiement, statut et référence de transaction — aucune donnée de carte bancaire</w:t>
            </w:r>
          </w:p>
        </w:tc>
        <w:tc>
          <w:tcPr>
            <w:tcMar>
              <w:top w:type="dxa" w:w="100"/>
              <w:left w:type="dxa" w:w="120"/>
              <w:bottom w:type="dxa" w:w="100"/>
              <w:right w:type="dxa" w:w="120"/>
            </w:tcMar>
          </w:tcPr>
          <w:p>
            <w:r>
              <w:rPr>
                <w:sz w:val="19"/>
                <w:szCs w:val="19"/>
              </w:rPr>
              <w:t xml:space="preserve">Transaction via CamerPay</w:t>
            </w:r>
          </w:p>
        </w:tc>
      </w:tr>
      <w:tr>
        <w:tc>
          <w:tcPr>
            <w:tcMar>
              <w:top w:type="dxa" w:w="100"/>
              <w:left w:type="dxa" w:w="120"/>
              <w:bottom w:type="dxa" w:w="100"/>
              <w:right w:type="dxa" w:w="120"/>
            </w:tcMar>
          </w:tcPr>
          <w:p>
            <w:r>
              <w:rPr>
                <w:sz w:val="19"/>
                <w:szCs w:val="19"/>
              </w:rPr>
              <w:t xml:space="preserve">Préférence</w:t>
            </w:r>
          </w:p>
        </w:tc>
        <w:tc>
          <w:tcPr>
            <w:tcMar>
              <w:top w:type="dxa" w:w="100"/>
              <w:left w:type="dxa" w:w="120"/>
              <w:bottom w:type="dxa" w:w="100"/>
              <w:right w:type="dxa" w:w="120"/>
            </w:tcMar>
          </w:tcPr>
          <w:p>
            <w:r>
              <w:rPr>
                <w:sz w:val="19"/>
                <w:szCs w:val="19"/>
              </w:rPr>
              <w:t xml:space="preserve">Dernier enfant consulté (en cas de suivi de plusieurs Élèves)</w:t>
            </w:r>
          </w:p>
        </w:tc>
        <w:tc>
          <w:tcPr>
            <w:tcMar>
              <w:top w:type="dxa" w:w="100"/>
              <w:left w:type="dxa" w:w="120"/>
              <w:bottom w:type="dxa" w:w="100"/>
              <w:right w:type="dxa" w:w="120"/>
            </w:tcMar>
          </w:tcPr>
          <w:p>
            <w:r>
              <w:rPr>
                <w:sz w:val="19"/>
                <w:szCs w:val="19"/>
              </w:rPr>
              <w:t xml:space="preserve">Usage du tableau de bord</w:t>
            </w:r>
          </w:p>
        </w:tc>
      </w:tr>
    </w:tbl>
    <w:p>
      <w:pPr>
        <w:spacing w:after="120"/>
      </w:pPr>
    </w:p>
    <w:p>
      <w:pPr>
        <w:pStyle w:val="Heading2"/>
        <w:spacing w:after="140" w:before="260"/>
      </w:pPr>
      <w:r>
        <w:rPr>
          <w:rFonts w:ascii="Calibri" w:cs="Calibri" w:eastAsia="Calibri" w:hAnsi="Calibri"/>
          <w:b/>
          <w:bCs/>
          <w:color w:val="1B2A4A"/>
          <w:sz w:val="23"/>
          <w:szCs w:val="23"/>
        </w:rPr>
        <w:t xml:space="preserve">3.3 Données relatives à l'Administrateur</w:t>
      </w:r>
    </w:p>
    <w:p>
      <w:pPr>
        <w:spacing w:after="160" w:line="300"/>
        <w:jc w:val="both"/>
      </w:pPr>
      <w:r>
        <w:rPr>
          <w:rFonts w:ascii="Calibri" w:cs="Calibri" w:eastAsia="Calibri" w:hAnsi="Calibri"/>
          <w:sz w:val="21"/>
          <w:szCs w:val="21"/>
        </w:rPr>
        <w:t xml:space="preserve">Adresse électronique professionnelle, mot de passe (conservé sous forme hachée, jamais en clair), secret d'authentification à deux facteurs (2FA), rôle attribué.</w:t>
      </w:r>
    </w:p>
    <w:p>
      <w:pPr>
        <w:pStyle w:val="Heading2"/>
        <w:spacing w:after="140" w:before="260"/>
      </w:pPr>
      <w:r>
        <w:rPr>
          <w:rFonts w:ascii="Calibri" w:cs="Calibri" w:eastAsia="Calibri" w:hAnsi="Calibri"/>
          <w:b/>
          <w:bCs/>
          <w:color w:val="1B2A4A"/>
          <w:sz w:val="23"/>
          <w:szCs w:val="23"/>
        </w:rPr>
        <w:t xml:space="preserve">3.4 Données que nous ne collectons jamais</w:t>
      </w:r>
    </w:p>
    <w:p>
      <w:pPr>
        <w:pStyle w:val="ListParagraph"/>
        <w:numPr>
          <w:ilvl w:val="0"/>
          <w:numId w:val="2"/>
        </w:numPr>
        <w:spacing w:after="90" w:line="290"/>
        <w:jc w:val="both"/>
      </w:pPr>
      <w:r>
        <w:rPr>
          <w:rFonts w:ascii="Calibri" w:cs="Calibri" w:eastAsia="Calibri" w:hAnsi="Calibri"/>
          <w:sz w:val="21"/>
          <w:szCs w:val="21"/>
        </w:rPr>
        <w:t>aucune donnée de carte bancaire — Klarity ne propose pas de paiement par carte, le paiement s'effectuant exclusivement par Mobile Money via l'environnement sécurisé de CamerPay ;</w:t>
      </w:r>
    </w:p>
    <w:p>
      <w:pPr>
        <w:pStyle w:val="ListParagraph"/>
        <w:numPr>
          <w:ilvl w:val="0"/>
          <w:numId w:val="2"/>
        </w:numPr>
        <w:spacing w:after="90" w:line="290"/>
        <w:jc w:val="both"/>
      </w:pPr>
      <w:r>
        <w:rPr>
          <w:rFonts w:ascii="Calibri" w:cs="Calibri" w:eastAsia="Calibri" w:hAnsi="Calibri"/>
          <w:sz w:val="21"/>
          <w:szCs w:val="21"/>
        </w:rPr>
        <w:t xml:space="preserve">aucune donnée de géolocalisation précise ;</w:t>
      </w:r>
    </w:p>
    <w:p>
      <w:pPr>
        <w:pStyle w:val="ListParagraph"/>
        <w:numPr>
          <w:ilvl w:val="0"/>
          <w:numId w:val="2"/>
        </w:numPr>
        <w:spacing w:after="90" w:line="290"/>
        <w:jc w:val="both"/>
      </w:pPr>
      <w:r>
        <w:rPr>
          <w:rFonts w:ascii="Calibri" w:cs="Calibri" w:eastAsia="Calibri" w:hAnsi="Calibri"/>
          <w:sz w:val="21"/>
          <w:szCs w:val="21"/>
        </w:rPr>
        <w:t xml:space="preserve">aucune donnée de santé, d'origine ou de conviction religieuse, sauf si l'Utilisateur en fait mention volontairement dans un échange avec le chat-tuteur, auquel cas cette donnée n'est traitée qu'aux fins strictement pédagogiques de la conversation et n'est jamais exploitée à d'autres fins.</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4 — FINALITÉS ET BASES LÉGALES DU TRAITEMENT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3300"/>
        <w:gridCol w:w="3100"/>
      </w:tblGrid>
      <w:tr>
        <w:trPr>
          <w:tblHeader/>
        </w:trPr>
        <w:tc>
          <w:tcPr>
            <w:shd w:fill="1B2A4A" w:val="clear"/>
            <w:tcMar>
              <w:top w:type="dxa" w:w="100"/>
              <w:left w:type="dxa" w:w="120"/>
              <w:bottom w:type="dxa" w:w="100"/>
              <w:right w:type="dxa" w:w="120"/>
            </w:tcMar>
          </w:tcPr>
          <w:p>
            <w:r>
              <w:rPr>
                <w:b/>
                <w:bCs/>
                <w:color w:val="FFFFFF"/>
                <w:sz w:val="19"/>
                <w:szCs w:val="19"/>
              </w:rPr>
              <w:t xml:space="preserve">Finalité</w:t>
            </w:r>
          </w:p>
        </w:tc>
        <w:tc>
          <w:tcPr>
            <w:shd w:fill="1B2A4A" w:val="clear"/>
            <w:tcMar>
              <w:top w:type="dxa" w:w="100"/>
              <w:left w:type="dxa" w:w="120"/>
              <w:bottom w:type="dxa" w:w="100"/>
              <w:right w:type="dxa" w:w="120"/>
            </w:tcMar>
          </w:tcPr>
          <w:p>
            <w:r>
              <w:rPr>
                <w:b/>
                <w:bCs/>
                <w:color w:val="FFFFFF"/>
                <w:sz w:val="19"/>
                <w:szCs w:val="19"/>
              </w:rPr>
              <w:t xml:space="preserve">Données concernées</w:t>
            </w:r>
          </w:p>
        </w:tc>
        <w:tc>
          <w:tcPr>
            <w:shd w:fill="1B2A4A" w:val="clear"/>
            <w:tcMar>
              <w:top w:type="dxa" w:w="100"/>
              <w:left w:type="dxa" w:w="120"/>
              <w:bottom w:type="dxa" w:w="100"/>
              <w:right w:type="dxa" w:w="120"/>
            </w:tcMar>
          </w:tcPr>
          <w:p>
            <w:r>
              <w:rPr>
                <w:b/>
                <w:bCs/>
                <w:color w:val="FFFFFF"/>
                <w:sz w:val="19"/>
                <w:szCs w:val="19"/>
              </w:rPr>
              <w:t xml:space="preserve">Base légale</w:t>
            </w:r>
          </w:p>
        </w:tc>
      </w:tr>
      <w:tr>
        <w:tc>
          <w:tcPr>
            <w:tcMar>
              <w:top w:type="dxa" w:w="100"/>
              <w:left w:type="dxa" w:w="120"/>
              <w:bottom w:type="dxa" w:w="100"/>
              <w:right w:type="dxa" w:w="120"/>
            </w:tcMar>
          </w:tcPr>
          <w:p>
            <w:r>
              <w:rPr>
                <w:sz w:val="19"/>
                <w:szCs w:val="19"/>
              </w:rPr>
              <w:t xml:space="preserve">Fourniture du service pédagogique (chat, correction, quiz, lacunes)</w:t>
            </w:r>
          </w:p>
        </w:tc>
        <w:tc>
          <w:tcPr>
            <w:tcMar>
              <w:top w:type="dxa" w:w="100"/>
              <w:left w:type="dxa" w:w="120"/>
              <w:bottom w:type="dxa" w:w="100"/>
              <w:right w:type="dxa" w:w="120"/>
            </w:tcMar>
          </w:tcPr>
          <w:p>
            <w:r>
              <w:rPr>
                <w:sz w:val="19"/>
                <w:szCs w:val="19"/>
              </w:rPr>
              <w:t xml:space="preserve">Données pédagogiques, identification Élève</w:t>
            </w:r>
          </w:p>
        </w:tc>
        <w:tc>
          <w:tcPr>
            <w:tcMar>
              <w:top w:type="dxa" w:w="100"/>
              <w:left w:type="dxa" w:w="120"/>
              <w:bottom w:type="dxa" w:w="100"/>
              <w:right w:type="dxa" w:w="120"/>
            </w:tcMar>
          </w:tcPr>
          <w:p>
            <w:r>
              <w:rPr>
                <w:sz w:val="19"/>
                <w:szCs w:val="19"/>
              </w:rPr>
              <w:t xml:space="preserve">Exécution du contrat conclu avec l'Utilisateur, sous réserve du consentement parental (art. 5)</w:t>
            </w:r>
          </w:p>
        </w:tc>
      </w:tr>
      <w:tr>
        <w:tc>
          <w:tcPr>
            <w:tcMar>
              <w:top w:type="dxa" w:w="100"/>
              <w:left w:type="dxa" w:w="120"/>
              <w:bottom w:type="dxa" w:w="100"/>
              <w:right w:type="dxa" w:w="120"/>
            </w:tcMar>
          </w:tcPr>
          <w:p>
            <w:r>
              <w:rPr>
                <w:sz w:val="19"/>
                <w:szCs w:val="19"/>
              </w:rPr>
              <w:t xml:space="preserve">Vérification du lien Parent–Élève et sécurisation des accès</w:t>
            </w:r>
          </w:p>
        </w:tc>
        <w:tc>
          <w:tcPr>
            <w:tcMar>
              <w:top w:type="dxa" w:w="100"/>
              <w:left w:type="dxa" w:w="120"/>
              <w:bottom w:type="dxa" w:w="100"/>
              <w:right w:type="dxa" w:w="120"/>
            </w:tcMar>
          </w:tcPr>
          <w:p>
            <w:r>
              <w:rPr>
                <w:sz w:val="19"/>
                <w:szCs w:val="19"/>
              </w:rPr>
              <w:t xml:space="preserve">Identification, OTP, journaux de connexion</w:t>
            </w:r>
          </w:p>
        </w:tc>
        <w:tc>
          <w:tcPr>
            <w:tcMar>
              <w:top w:type="dxa" w:w="100"/>
              <w:left w:type="dxa" w:w="120"/>
              <w:bottom w:type="dxa" w:w="100"/>
              <w:right w:type="dxa" w:w="120"/>
            </w:tcMar>
          </w:tcPr>
          <w:p>
            <w:r>
              <w:rPr>
                <w:sz w:val="19"/>
                <w:szCs w:val="19"/>
              </w:rPr>
              <w:t xml:space="preserve">Intérêt légitime lié à la sécurité des mineurs et obligation de vérification</w:t>
            </w:r>
          </w:p>
        </w:tc>
      </w:tr>
      <w:tr>
        <w:tc>
          <w:tcPr>
            <w:tcMar>
              <w:top w:type="dxa" w:w="100"/>
              <w:left w:type="dxa" w:w="120"/>
              <w:bottom w:type="dxa" w:w="100"/>
              <w:right w:type="dxa" w:w="120"/>
            </w:tcMar>
          </w:tcPr>
          <w:p>
            <w:r>
              <w:rPr>
                <w:sz w:val="19"/>
                <w:szCs w:val="19"/>
              </w:rPr>
              <w:t xml:space="preserve">Gestion de l'abonnement et des paiements</w:t>
            </w:r>
          </w:p>
        </w:tc>
        <w:tc>
          <w:tcPr>
            <w:tcMar>
              <w:top w:type="dxa" w:w="100"/>
              <w:left w:type="dxa" w:w="120"/>
              <w:bottom w:type="dxa" w:w="100"/>
              <w:right w:type="dxa" w:w="120"/>
            </w:tcMar>
          </w:tcPr>
          <w:p>
            <w:r>
              <w:rPr>
                <w:sz w:val="19"/>
                <w:szCs w:val="19"/>
              </w:rPr>
              <w:t xml:space="preserve">Données d'abonnement et de transaction</w:t>
            </w:r>
          </w:p>
        </w:tc>
        <w:tc>
          <w:tcPr>
            <w:tcMar>
              <w:top w:type="dxa" w:w="100"/>
              <w:left w:type="dxa" w:w="120"/>
              <w:bottom w:type="dxa" w:w="100"/>
              <w:right w:type="dxa" w:w="120"/>
            </w:tcMar>
          </w:tcPr>
          <w:p>
            <w:r>
              <w:rPr>
                <w:sz w:val="19"/>
                <w:szCs w:val="19"/>
              </w:rPr>
              <w:t xml:space="preserve">Exécution du contrat</w:t>
            </w:r>
          </w:p>
        </w:tc>
      </w:tr>
      <w:tr>
        <w:tc>
          <w:tcPr>
            <w:tcMar>
              <w:top w:type="dxa" w:w="100"/>
              <w:left w:type="dxa" w:w="120"/>
              <w:bottom w:type="dxa" w:w="100"/>
              <w:right w:type="dxa" w:w="120"/>
            </w:tcMar>
          </w:tcPr>
          <w:p>
            <w:r>
              <w:rPr>
                <w:sz w:val="19"/>
                <w:szCs w:val="19"/>
              </w:rPr>
              <w:t xml:space="preserve">Suivi de la progression par le Parent</w:t>
            </w:r>
          </w:p>
        </w:tc>
        <w:tc>
          <w:tcPr>
            <w:tcMar>
              <w:top w:type="dxa" w:w="100"/>
              <w:left w:type="dxa" w:w="120"/>
              <w:bottom w:type="dxa" w:w="100"/>
              <w:right w:type="dxa" w:w="120"/>
            </w:tcMar>
          </w:tcPr>
          <w:p>
            <w:r>
              <w:rPr>
                <w:sz w:val="19"/>
                <w:szCs w:val="19"/>
              </w:rPr>
              <w:t xml:space="preserve">Notes, lacunes, temps passé</w:t>
            </w:r>
          </w:p>
        </w:tc>
        <w:tc>
          <w:tcPr>
            <w:tcMar>
              <w:top w:type="dxa" w:w="100"/>
              <w:left w:type="dxa" w:w="120"/>
              <w:bottom w:type="dxa" w:w="100"/>
              <w:right w:type="dxa" w:w="120"/>
            </w:tcMar>
          </w:tcPr>
          <w:p>
            <w:r>
              <w:rPr>
                <w:sz w:val="19"/>
                <w:szCs w:val="19"/>
              </w:rPr>
              <w:t xml:space="preserve">Consentement parental et intérêt légitime du suivi éducatif</w:t>
            </w:r>
          </w:p>
        </w:tc>
      </w:tr>
      <w:tr>
        <w:tc>
          <w:tcPr>
            <w:tcMar>
              <w:top w:type="dxa" w:w="100"/>
              <w:left w:type="dxa" w:w="120"/>
              <w:bottom w:type="dxa" w:w="100"/>
              <w:right w:type="dxa" w:w="120"/>
            </w:tcMar>
          </w:tcPr>
          <w:p>
            <w:r>
              <w:rPr>
                <w:sz w:val="19"/>
                <w:szCs w:val="19"/>
              </w:rPr>
              <w:t xml:space="preserve">Pilotage du coût d'usage de l'intelligence artificielle</w:t>
            </w:r>
          </w:p>
        </w:tc>
        <w:tc>
          <w:tcPr>
            <w:tcMar>
              <w:top w:type="dxa" w:w="100"/>
              <w:left w:type="dxa" w:w="120"/>
              <w:bottom w:type="dxa" w:w="100"/>
              <w:right w:type="dxa" w:w="120"/>
            </w:tcMar>
          </w:tcPr>
          <w:p>
            <w:r>
              <w:rPr>
                <w:sz w:val="19"/>
                <w:szCs w:val="19"/>
              </w:rPr>
              <w:t xml:space="preserve">Volume d'usage IA par Élève (tokens, nombre d'appels)</w:t>
            </w:r>
          </w:p>
        </w:tc>
        <w:tc>
          <w:tcPr>
            <w:tcMar>
              <w:top w:type="dxa" w:w="100"/>
              <w:left w:type="dxa" w:w="120"/>
              <w:bottom w:type="dxa" w:w="100"/>
              <w:right w:type="dxa" w:w="120"/>
            </w:tcMar>
          </w:tcPr>
          <w:p>
            <w:r>
              <w:rPr>
                <w:sz w:val="19"/>
                <w:szCs w:val="19"/>
              </w:rPr>
              <w:t xml:space="preserve">Intérêt légitime de Klarity à la viabilité économique du service</w:t>
            </w:r>
          </w:p>
        </w:tc>
      </w:tr>
      <w:tr>
        <w:tc>
          <w:tcPr>
            <w:tcMar>
              <w:top w:type="dxa" w:w="100"/>
              <w:left w:type="dxa" w:w="120"/>
              <w:bottom w:type="dxa" w:w="100"/>
              <w:right w:type="dxa" w:w="120"/>
            </w:tcMar>
          </w:tcPr>
          <w:p>
            <w:r>
              <w:rPr>
                <w:sz w:val="19"/>
                <w:szCs w:val="19"/>
              </w:rPr>
              <w:t xml:space="preserve">Sécurité de la Plateforme et prévention de la fraude</w:t>
            </w:r>
          </w:p>
        </w:tc>
        <w:tc>
          <w:tcPr>
            <w:tcMar>
              <w:top w:type="dxa" w:w="100"/>
              <w:left w:type="dxa" w:w="120"/>
              <w:bottom w:type="dxa" w:w="100"/>
              <w:right w:type="dxa" w:w="120"/>
            </w:tcMar>
          </w:tcPr>
          <w:p>
            <w:r>
              <w:rPr>
                <w:sz w:val="19"/>
                <w:szCs w:val="19"/>
              </w:rPr>
              <w:t xml:space="preserve">Journaux de sécurité, tentatives de connexion</w:t>
            </w:r>
          </w:p>
        </w:tc>
        <w:tc>
          <w:tcPr>
            <w:tcMar>
              <w:top w:type="dxa" w:w="100"/>
              <w:left w:type="dxa" w:w="120"/>
              <w:bottom w:type="dxa" w:w="100"/>
              <w:right w:type="dxa" w:w="120"/>
            </w:tcMar>
          </w:tcPr>
          <w:p>
            <w:r>
              <w:rPr>
                <w:sz w:val="19"/>
                <w:szCs w:val="19"/>
              </w:rPr>
              <w:t xml:space="preserve">Obligation légale et intérêt légitime</w:t>
            </w:r>
          </w:p>
        </w:tc>
      </w:tr>
      <w:tr>
        <w:tc>
          <w:tcPr>
            <w:tcMar>
              <w:top w:type="dxa" w:w="100"/>
              <w:left w:type="dxa" w:w="120"/>
              <w:bottom w:type="dxa" w:w="100"/>
              <w:right w:type="dxa" w:w="120"/>
            </w:tcMar>
          </w:tcPr>
          <w:p>
            <w:r>
              <w:rPr>
                <w:sz w:val="19"/>
                <w:szCs w:val="19"/>
              </w:rPr>
              <w:t xml:space="preserve">Respect des obligations légales</w:t>
            </w:r>
          </w:p>
        </w:tc>
        <w:tc>
          <w:tcPr>
            <w:tcMar>
              <w:top w:type="dxa" w:w="100"/>
              <w:left w:type="dxa" w:w="120"/>
              <w:bottom w:type="dxa" w:w="100"/>
              <w:right w:type="dxa" w:w="120"/>
            </w:tcMar>
          </w:tcPr>
          <w:p>
            <w:r>
              <w:rPr>
                <w:sz w:val="19"/>
                <w:szCs w:val="19"/>
              </w:rPr>
              <w:t xml:space="preserve">Ensemble des données concernées</w:t>
            </w:r>
          </w:p>
        </w:tc>
        <w:tc>
          <w:tcPr>
            <w:tcMar>
              <w:top w:type="dxa" w:w="100"/>
              <w:left w:type="dxa" w:w="120"/>
              <w:bottom w:type="dxa" w:w="100"/>
              <w:right w:type="dxa" w:w="120"/>
            </w:tcMar>
          </w:tcPr>
          <w:p>
            <w:r>
              <w:rPr>
                <w:sz w:val="19"/>
                <w:szCs w:val="19"/>
              </w:rPr>
              <w:t xml:space="preserve">Obligation légale (notamment fiscale et de lutte contre la fraude)</w:t>
            </w:r>
          </w:p>
        </w:tc>
      </w:tr>
    </w:tbl>
    <w:p>
      <w:pPr>
        <w:spacing w:after="120"/>
      </w:pPr>
    </w:p>
    <w:p>
      <w:pPr>
        <w:spacing w:after="160" w:line="300"/>
        <w:jc w:val="both"/>
      </w:pPr>
      <w:r>
        <w:rPr>
          <w:rFonts w:ascii="Calibri" w:cs="Calibri" w:eastAsia="Calibri" w:hAnsi="Calibri"/>
          <w:sz w:val="21"/>
          <w:szCs w:val="21"/>
        </w:rPr>
        <w:t xml:space="preserve">Aucune donnée n'est utilisée à des fins de publicité ciblée. Klarity ne vend ni ne loue aucune donnée à caractère personnel à des tiers.</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5 — DONNÉES DES MINEURS ET CONSENTEMENT PARENTAL</w:t>
      </w:r>
    </w:p>
    <w:p>
      <w:pPr>
        <w:spacing w:after="160" w:line="300"/>
        <w:jc w:val="both"/>
      </w:pPr>
      <w:r>
        <w:rPr>
          <w:rFonts w:ascii="Calibri" w:cs="Calibri" w:eastAsia="Calibri" w:hAnsi="Calibri"/>
          <w:sz w:val="21"/>
          <w:szCs w:val="21"/>
        </w:rPr>
        <w:t xml:space="preserve">Conformément à l'article 19 de la Loi, le traitement des données d'un mineur de moins de 18 ans est subordonné au consentement de son Parent ou représentant légal, en complément du consentement de l'Élève lorsque son âge le permet.</w:t>
      </w:r>
    </w:p>
    <w:p>
      <w:pPr>
        <w:pStyle w:val="Heading2"/>
        <w:spacing w:after="140" w:before="260"/>
      </w:pPr>
      <w:r>
        <w:rPr>
          <w:rFonts w:ascii="Calibri" w:cs="Calibri" w:eastAsia="Calibri" w:hAnsi="Calibri"/>
          <w:b/>
          <w:bCs/>
          <w:color w:val="1B2A4A"/>
          <w:sz w:val="23"/>
          <w:szCs w:val="23"/>
        </w:rPr>
        <w:t xml:space="preserve">5.1 Mécanisme retenu par Klarity</w:t>
      </w:r>
    </w:p>
    <w:p>
      <w:pPr>
        <w:spacing w:after="160" w:line="300"/>
        <w:jc w:val="both"/>
      </w:pPr>
      <w:r>
        <w:rPr>
          <w:rFonts w:ascii="Calibri" w:cs="Calibri" w:eastAsia="Calibri" w:hAnsi="Calibri"/>
          <w:sz w:val="21"/>
          <w:szCs w:val="21"/>
        </w:rPr>
        <w:t>L'inscription initiale de l'Élève (nom, classe, filière) donne lieu à la génération d'un Code Élève. Dès cette inscription, l'Élève a accès à l'ensemble des fonctionnalités pédagogiques de la Plateforme, y compris le chat-tuteur et la correction automatisée de copies, sans que l'établissement préalable d'un lien vérifié avec un Parent ne conditionne cet accès. Ce code doit être transmis au Parent, qui établit ensuite le lien vérifié par numéro de téléphone et code de vérification (OTP). Tant que ce lien n'est pas établi, le Parent ne peut consulter aucune donnée relative à l'Élève ; l'établissement du lien matérialise, une fois réalisé, la reconnaissance a posteriori de l'autorité parentale sur l'usage déjà effectué par l'Élève.</w:t>
      </w:r>
    </w:p>
    <w:tbl>
      <w:tblPr>
        <w:tblW w:type="pct" w:w="100%"/>
        <w:tblBorders>
          <w:top w:val="single" w:color="B8862B" w:sz="4"/>
          <w:left w:val="single" w:color="B8862B" w:sz="4"/>
          <w:bottom w:val="single" w:color="B8862B" w:sz="4"/>
          <w:right w:val="single" w:color="B8862B" w:sz="4"/>
          <w:insideH w:val="none" w:color="FFFFFF" w:sz="0"/>
          <w:insideV w:val="none" w:color="FFFFFF" w:sz="0"/>
        </w:tblBorders>
      </w:tblPr>
      <w:tblGrid>
        <w:gridCol w:w="100"/>
      </w:tblGrid>
      <w:tr>
        <w:tc>
          <w:tcPr>
            <w:shd w:fill="F2F4F8" w:val="clear"/>
            <w:tcMar>
              <w:top w:type="dxa" w:w="160"/>
              <w:left w:type="dxa" w:w="200"/>
              <w:bottom w:type="dxa" w:w="160"/>
              <w:right w:type="dxa" w:w="200"/>
            </w:tcMar>
          </w:tcPr>
          <w:p>
            <w:pPr>
              <w:spacing w:after="80"/>
            </w:pPr>
            <w:r>
              <w:rPr>
                <w:rFonts w:ascii="Calibri" w:cs="Calibri" w:eastAsia="Calibri" w:hAnsi="Calibri"/>
                <w:b/>
                <w:bCs/>
                <w:color w:val="B8862B"/>
                <w:sz w:val="20"/>
                <w:szCs w:val="20"/>
              </w:rPr>
              <w:t>Transparence sur le dispositif retenu et son exposition juridique</w:t>
            </w:r>
          </w:p>
          <w:p>
            <w:pPr>
              <w:spacing w:after="0" w:line="280"/>
              <w:jc w:val="both"/>
            </w:pPr>
            <w:r>
              <w:rPr>
                <w:rFonts w:ascii="Calibri" w:cs="Calibri" w:eastAsia="Calibri" w:hAnsi="Calibri"/>
                <w:i/>
                <w:iCs/>
                <w:color w:val="333333"/>
                <w:sz w:val="20"/>
                <w:szCs w:val="20"/>
              </w:rPr>
              <w:t>Klarity a fait le choix, pour la version actuelle du service, de ne pas conditionner l'accès de l'Élève aux fonctionnalités pédagogiques — y compris le chat-tuteur et la correction automatisée de copies — à l'établissement préalable du lien vérifié avec un Parent. Le consentement parental est ainsi recueilli a posteriori, au moment où le Parent établit ce lien, et non strictement avant toute collecte de données pédagogiques, comme le prévoit en principe l'article 19 de la Loi. Ce choix, motivé par la réduction de la friction d'inscription dans un usage conçu comme un outil scolaire personnel, expose Klarity à un risque de non-conformité au regard de cet article tant que le lien n'est pas établi. Il fait l'objet d'un examen juridique préalable à toute publication et d'un suivi continu au regard de l'évolution de la doctrine de l'Autorité de Protection des Données à Caractère Personnel.</w:t>
            </w:r>
          </w:p>
        </w:tc>
      </w:tr>
    </w:tbl>
    <w:p>
      <w:pPr>
        <w:pStyle w:val="Heading2"/>
        <w:spacing w:after="140" w:before="260"/>
      </w:pPr>
      <w:r>
        <w:rPr>
          <w:rFonts w:ascii="Calibri" w:cs="Calibri" w:eastAsia="Calibri" w:hAnsi="Calibri"/>
          <w:b/>
          <w:bCs/>
          <w:color w:val="1B2A4A"/>
          <w:sz w:val="23"/>
          <w:szCs w:val="23"/>
        </w:rPr>
        <w:t xml:space="preserve">5.2 Droits du Parent sur les données de l'Élève</w:t>
      </w:r>
    </w:p>
    <w:p>
      <w:pPr>
        <w:spacing w:after="160" w:line="300"/>
        <w:jc w:val="both"/>
      </w:pPr>
      <w:r>
        <w:rPr>
          <w:rFonts w:ascii="Calibri" w:cs="Calibri" w:eastAsia="Calibri" w:hAnsi="Calibri"/>
          <w:sz w:val="21"/>
          <w:szCs w:val="21"/>
        </w:rPr>
        <w:t xml:space="preserve">Le Parent titulaire d'un lien vérifié peut, à tout moment, demander l'accès, la rectification ou l'effacement des données de l'Élève qu'il représente, ainsi que le retrait de son consentement, ce retrait entraînant la clôture du Compte Élève concerné, selon les modalités de l'Article 12.</w:t>
      </w:r>
    </w:p>
    <w:p>
      <w:pPr>
        <w:pStyle w:val="Heading2"/>
        <w:spacing w:after="140" w:before="260"/>
      </w:pPr>
      <w:r>
        <w:rPr>
          <w:rFonts w:ascii="Calibri" w:cs="Calibri" w:eastAsia="Calibri" w:hAnsi="Calibri"/>
          <w:b/>
          <w:bCs/>
          <w:color w:val="1B2A4A"/>
          <w:sz w:val="23"/>
          <w:szCs w:val="23"/>
        </w:rPr>
        <w:t xml:space="preserve">5.3 Collecte minimale</w:t>
      </w:r>
    </w:p>
    <w:p>
      <w:pPr>
        <w:spacing w:after="160" w:line="300"/>
        <w:jc w:val="both"/>
      </w:pPr>
      <w:r>
        <w:rPr>
          <w:rFonts w:ascii="Calibri" w:cs="Calibri" w:eastAsia="Calibri" w:hAnsi="Calibri"/>
          <w:sz w:val="21"/>
          <w:szCs w:val="21"/>
        </w:rPr>
        <w:t xml:space="preserve">Klarity applique un principe de collecte minimale à l'égard des Élèves : seules les données strictement nécessaires à la fourniture du service pédagogique sont collectées, à l'exclusion de toute donnée sans finalité pédagogique ou de sécurité identifiée.</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6 — INTELLIGENCE ARTIFICIELLE ET VOS DONNÉES</w:t>
      </w:r>
    </w:p>
    <w:p>
      <w:pPr>
        <w:spacing w:after="160" w:line="300"/>
        <w:jc w:val="both"/>
      </w:pPr>
      <w:r>
        <w:rPr>
          <w:rFonts w:ascii="Calibri" w:cs="Calibri" w:eastAsia="Calibri" w:hAnsi="Calibri"/>
          <w:sz w:val="21"/>
          <w:szCs w:val="21"/>
        </w:rPr>
        <w:t xml:space="preserve">Le chat-tuteur, la correction automatisée de copies, la génération de quiz et la détection de lacunes reposent sur des modèles d'intelligence artificielle fournis par un prestataire tiers (API Anthropic Claude), sollicités par Klarity via une interface applicative sécurisée.</w:t>
      </w:r>
    </w:p>
    <w:p>
      <w:pPr>
        <w:pStyle w:val="Heading2"/>
        <w:spacing w:after="140" w:before="260"/>
      </w:pPr>
      <w:r>
        <w:rPr>
          <w:rFonts w:ascii="Calibri" w:cs="Calibri" w:eastAsia="Calibri" w:hAnsi="Calibri"/>
          <w:b/>
          <w:bCs/>
          <w:color w:val="1B2A4A"/>
          <w:sz w:val="23"/>
          <w:szCs w:val="23"/>
        </w:rPr>
        <w:t xml:space="preserve">6.1 Ce qui est transmis au fournisseur d'IA</w:t>
      </w:r>
    </w:p>
    <w:p>
      <w:pPr>
        <w:spacing w:after="160" w:line="300"/>
        <w:jc w:val="both"/>
      </w:pPr>
      <w:r>
        <w:rPr>
          <w:rFonts w:ascii="Calibri" w:cs="Calibri" w:eastAsia="Calibri" w:hAnsi="Calibri"/>
          <w:sz w:val="21"/>
          <w:szCs w:val="21"/>
        </w:rPr>
        <w:t xml:space="preserve">Selon la fonctionnalité utilisée, sont transmis : le contenu du message saisi par l'Élève (chat-tuteur), la photographie de la copie et le barème de l'épreuve concernée (correction), ou l'historique anonymisé des résultats nécessaires à l'identification d'une lacune (détection de lacunes). Le contenu déposé par l'Élève n'est jamais interprété comme une instruction système : il est strictement cloisonné du prompt de fonctionnement envoyé au modèle.</w:t>
      </w:r>
    </w:p>
    <w:p>
      <w:pPr>
        <w:pStyle w:val="Heading2"/>
        <w:spacing w:after="140" w:before="260"/>
      </w:pPr>
      <w:r>
        <w:rPr>
          <w:rFonts w:ascii="Calibri" w:cs="Calibri" w:eastAsia="Calibri" w:hAnsi="Calibri"/>
          <w:b/>
          <w:bCs/>
          <w:color w:val="1B2A4A"/>
          <w:sz w:val="23"/>
          <w:szCs w:val="23"/>
        </w:rPr>
        <w:t xml:space="preserve">6.2 Ce que nous demandons contractuellement à notre fournisseur d'IA</w:t>
      </w:r>
    </w:p>
    <w:p>
      <w:pPr>
        <w:spacing w:after="160" w:line="300"/>
        <w:jc w:val="both"/>
      </w:pPr>
      <w:r>
        <w:rPr>
          <w:rFonts w:ascii="Calibri" w:cs="Calibri" w:eastAsia="Calibri" w:hAnsi="Calibri"/>
          <w:sz w:val="21"/>
          <w:szCs w:val="21"/>
        </w:rPr>
        <w:t xml:space="preserve">Klarity s'engage à ne recourir qu'à une offre d'API commerciale de son fournisseur d'intelligence artificielle assortie de garanties contractuelles de non-utilisation des données transmises pour l'entraînement des modèles de ce fournisseur, et à documenter cet engagement dans le contrat de sous-traitance conclu avec lui, conformément à l'exigence de l'article 7.5 des CGU.</w:t>
      </w:r>
    </w:p>
    <w:p>
      <w:pPr>
        <w:pStyle w:val="Heading2"/>
        <w:spacing w:after="140" w:before="260"/>
      </w:pPr>
      <w:r>
        <w:rPr>
          <w:rFonts w:ascii="Calibri" w:cs="Calibri" w:eastAsia="Calibri" w:hAnsi="Calibri"/>
          <w:b/>
          <w:bCs/>
          <w:color w:val="1B2A4A"/>
          <w:sz w:val="23"/>
          <w:szCs w:val="23"/>
        </w:rPr>
        <w:t xml:space="preserve">6.3 Nature des résultats produits</w:t>
      </w:r>
    </w:p>
    <w:p>
      <w:pPr>
        <w:spacing w:after="160" w:line="300"/>
        <w:jc w:val="both"/>
      </w:pPr>
      <w:r>
        <w:rPr>
          <w:rFonts w:ascii="Calibri" w:cs="Calibri" w:eastAsia="Calibri" w:hAnsi="Calibri"/>
          <w:sz w:val="21"/>
          <w:szCs w:val="21"/>
        </w:rPr>
        <w:t xml:space="preserve">Les réponses, notes indicatives et corrigés générés par le Service IA sont des sorties automatisées, sujettes à erreur (cf. Article 8 des CGU). Elles sont associées, dans nos systèmes, au compte de l'Élève concerné à seule fin de permettre le suivi pédagogique et la détection de lacunes, jamais à des fins de profilage commercial.</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7 — DESTINATAIRES ET SOUS-TRAITANTS</w:t>
      </w:r>
    </w:p>
    <w:p>
      <w:pPr>
        <w:spacing w:after="160" w:line="300"/>
        <w:jc w:val="both"/>
      </w:pPr>
      <w:r>
        <w:rPr>
          <w:rFonts w:ascii="Calibri" w:cs="Calibri" w:eastAsia="Calibri" w:hAnsi="Calibri"/>
          <w:sz w:val="21"/>
          <w:szCs w:val="21"/>
        </w:rPr>
        <w:t xml:space="preserve">Vos données sont accessibles, dans la stricte limite de leurs missions respectives, aux personnels habilités de Klarity et aux prestataires suivants, chacun agissant en qualité de sous-traitant et lié par un contrat de traitement de données conforme à la Loi :</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800"/>
        <w:gridCol w:w="3200"/>
      </w:tblGrid>
      <w:tr>
        <w:trPr>
          <w:tblHeader/>
        </w:trPr>
        <w:tc>
          <w:tcPr>
            <w:shd w:fill="1B2A4A" w:val="clear"/>
            <w:tcMar>
              <w:top w:type="dxa" w:w="100"/>
              <w:left w:type="dxa" w:w="120"/>
              <w:bottom w:type="dxa" w:w="100"/>
              <w:right w:type="dxa" w:w="120"/>
            </w:tcMar>
          </w:tcPr>
          <w:p>
            <w:r>
              <w:rPr>
                <w:b/>
                <w:bCs/>
                <w:color w:val="FFFFFF"/>
                <w:sz w:val="19"/>
                <w:szCs w:val="19"/>
              </w:rPr>
              <w:t xml:space="preserve">Prestataire</w:t>
            </w:r>
          </w:p>
        </w:tc>
        <w:tc>
          <w:tcPr>
            <w:shd w:fill="1B2A4A" w:val="clear"/>
            <w:tcMar>
              <w:top w:type="dxa" w:w="100"/>
              <w:left w:type="dxa" w:w="120"/>
              <w:bottom w:type="dxa" w:w="100"/>
              <w:right w:type="dxa" w:w="120"/>
            </w:tcMar>
          </w:tcPr>
          <w:p>
            <w:r>
              <w:rPr>
                <w:b/>
                <w:bCs/>
                <w:color w:val="FFFFFF"/>
                <w:sz w:val="19"/>
                <w:szCs w:val="19"/>
              </w:rPr>
              <w:t xml:space="preserve">Rôle</w:t>
            </w:r>
          </w:p>
        </w:tc>
        <w:tc>
          <w:tcPr>
            <w:shd w:fill="1B2A4A" w:val="clear"/>
            <w:tcMar>
              <w:top w:type="dxa" w:w="100"/>
              <w:left w:type="dxa" w:w="120"/>
              <w:bottom w:type="dxa" w:w="100"/>
              <w:right w:type="dxa" w:w="120"/>
            </w:tcMar>
          </w:tcPr>
          <w:p>
            <w:r>
              <w:rPr>
                <w:b/>
                <w:bCs/>
                <w:color w:val="FFFFFF"/>
                <w:sz w:val="19"/>
                <w:szCs w:val="19"/>
              </w:rPr>
              <w:t xml:space="preserve">Données concernées</w:t>
            </w:r>
          </w:p>
        </w:tc>
      </w:tr>
      <w:tr>
        <w:tc>
          <w:tcPr>
            <w:tcMar>
              <w:top w:type="dxa" w:w="100"/>
              <w:left w:type="dxa" w:w="120"/>
              <w:bottom w:type="dxa" w:w="100"/>
              <w:right w:type="dxa" w:w="120"/>
            </w:tcMar>
          </w:tcPr>
          <w:p>
            <w:r>
              <w:rPr>
                <w:sz w:val="19"/>
                <w:szCs w:val="19"/>
              </w:rPr>
              <w:t xml:space="preserve">Anthropic (API Claude)</w:t>
            </w:r>
          </w:p>
        </w:tc>
        <w:tc>
          <w:tcPr>
            <w:tcMar>
              <w:top w:type="dxa" w:w="100"/>
              <w:left w:type="dxa" w:w="120"/>
              <w:bottom w:type="dxa" w:w="100"/>
              <w:right w:type="dxa" w:w="120"/>
            </w:tcMar>
          </w:tcPr>
          <w:p>
            <w:r>
              <w:rPr>
                <w:sz w:val="19"/>
                <w:szCs w:val="19"/>
              </w:rPr>
              <w:t xml:space="preserve">Traitement par intelligence artificielle : chat-tuteur, correction, détection de lacunes, génération de quiz</w:t>
            </w:r>
          </w:p>
        </w:tc>
        <w:tc>
          <w:tcPr>
            <w:tcMar>
              <w:top w:type="dxa" w:w="100"/>
              <w:left w:type="dxa" w:w="120"/>
              <w:bottom w:type="dxa" w:w="100"/>
              <w:right w:type="dxa" w:w="120"/>
            </w:tcMar>
          </w:tcPr>
          <w:p>
            <w:r>
              <w:rPr>
                <w:sz w:val="19"/>
                <w:szCs w:val="19"/>
              </w:rPr>
              <w:t xml:space="preserve">Contenu pédagogique transmis lors de l'usage du Service IA</w:t>
            </w:r>
          </w:p>
        </w:tc>
      </w:tr>
      <w:tr>
        <w:tc>
          <w:tcPr>
            <w:tcMar>
              <w:top w:type="dxa" w:w="100"/>
              <w:left w:type="dxa" w:w="120"/>
              <w:bottom w:type="dxa" w:w="100"/>
              <w:right w:type="dxa" w:w="120"/>
            </w:tcMar>
          </w:tcPr>
          <w:p>
            <w:r>
              <w:rPr>
                <w:sz w:val="19"/>
                <w:szCs w:val="19"/>
              </w:rPr>
              <w:t xml:space="preserve">Cloudflare (stockage R2)</w:t>
            </w:r>
          </w:p>
        </w:tc>
        <w:tc>
          <w:tcPr>
            <w:tcMar>
              <w:top w:type="dxa" w:w="100"/>
              <w:left w:type="dxa" w:w="120"/>
              <w:bottom w:type="dxa" w:w="100"/>
              <w:right w:type="dxa" w:w="120"/>
            </w:tcMar>
          </w:tcPr>
          <w:p>
            <w:r>
              <w:rPr>
                <w:sz w:val="19"/>
                <w:szCs w:val="19"/>
              </w:rPr>
              <w:t xml:space="preserve">Hébergement sécurisé des fichiers (photographies de copies, corrigés)</w:t>
            </w:r>
          </w:p>
        </w:tc>
        <w:tc>
          <w:tcPr>
            <w:tcMar>
              <w:top w:type="dxa" w:w="100"/>
              <w:left w:type="dxa" w:w="120"/>
              <w:bottom w:type="dxa" w:w="100"/>
              <w:right w:type="dxa" w:w="120"/>
            </w:tcMar>
          </w:tcPr>
          <w:p>
            <w:r>
              <w:rPr>
                <w:sz w:val="19"/>
                <w:szCs w:val="19"/>
              </w:rPr>
              <w:t xml:space="preserve">Fichiers déposés par l'Élève, sous URL signée à durée limitée</w:t>
            </w:r>
          </w:p>
        </w:tc>
      </w:tr>
      <w:tr>
        <w:tc>
          <w:tcPr>
            <w:tcMar>
              <w:top w:type="dxa" w:w="100"/>
              <w:left w:type="dxa" w:w="120"/>
              <w:bottom w:type="dxa" w:w="100"/>
              <w:right w:type="dxa" w:w="120"/>
            </w:tcMar>
          </w:tcPr>
          <w:p>
            <w:r>
              <w:rPr>
                <w:sz w:val="19"/>
                <w:szCs w:val="19"/>
              </w:rPr>
              <w:t xml:space="preserve">CamerPay</w:t>
            </w:r>
          </w:p>
        </w:tc>
        <w:tc>
          <w:tcPr>
            <w:tcMar>
              <w:top w:type="dxa" w:w="100"/>
              <w:left w:type="dxa" w:w="120"/>
              <w:bottom w:type="dxa" w:w="100"/>
              <w:right w:type="dxa" w:w="120"/>
            </w:tcMar>
          </w:tcPr>
          <w:p>
            <w:r>
              <w:rPr>
                <w:sz w:val="19"/>
                <w:szCs w:val="19"/>
              </w:rPr>
              <w:t xml:space="preserve">Traitement des paiements Mobile Money et carte bancaire</w:t>
            </w:r>
          </w:p>
        </w:tc>
        <w:tc>
          <w:tcPr>
            <w:tcMar>
              <w:top w:type="dxa" w:w="100"/>
              <w:left w:type="dxa" w:w="120"/>
              <w:bottom w:type="dxa" w:w="100"/>
              <w:right w:type="dxa" w:w="120"/>
            </w:tcMar>
          </w:tcPr>
          <w:p>
            <w:r>
              <w:rPr>
                <w:sz w:val="19"/>
                <w:szCs w:val="19"/>
              </w:rPr>
              <w:t xml:space="preserve">Données de transaction, numéro de téléphone du payeur</w:t>
            </w:r>
          </w:p>
        </w:tc>
      </w:tr>
      <w:tr>
        <w:tc>
          <w:tcPr>
            <w:tcMar>
              <w:top w:type="dxa" w:w="100"/>
              <w:left w:type="dxa" w:w="120"/>
              <w:bottom w:type="dxa" w:w="100"/>
              <w:right w:type="dxa" w:w="120"/>
            </w:tcMar>
          </w:tcPr>
          <w:p>
            <w:r>
              <w:rPr>
                <w:sz w:val="19"/>
                <w:szCs w:val="19"/>
              </w:rPr>
              <w:t xml:space="preserve">Fournisseur SMS / WhatsApp Business API</w:t>
            </w:r>
          </w:p>
        </w:tc>
        <w:tc>
          <w:tcPr>
            <w:tcMar>
              <w:top w:type="dxa" w:w="100"/>
              <w:left w:type="dxa" w:w="120"/>
              <w:bottom w:type="dxa" w:w="100"/>
              <w:right w:type="dxa" w:w="120"/>
            </w:tcMar>
          </w:tcPr>
          <w:p>
            <w:r>
              <w:rPr>
                <w:sz w:val="19"/>
                <w:szCs w:val="19"/>
              </w:rPr>
              <w:t xml:space="preserve">Envoi des codes de vérification (OTP) et notifications (rappel d'abonnement)</w:t>
            </w:r>
          </w:p>
        </w:tc>
        <w:tc>
          <w:tcPr>
            <w:tcMar>
              <w:top w:type="dxa" w:w="100"/>
              <w:left w:type="dxa" w:w="120"/>
              <w:bottom w:type="dxa" w:w="100"/>
              <w:right w:type="dxa" w:w="120"/>
            </w:tcMar>
          </w:tcPr>
          <w:p>
            <w:r>
              <w:rPr>
                <w:sz w:val="19"/>
                <w:szCs w:val="19"/>
              </w:rPr>
              <w:t xml:space="preserve">Numéro de téléphone du Parent</w:t>
            </w:r>
          </w:p>
        </w:tc>
      </w:tr>
      <w:tr>
        <w:tc>
          <w:tcPr>
            <w:tcMar>
              <w:top w:type="dxa" w:w="100"/>
              <w:left w:type="dxa" w:w="120"/>
              <w:bottom w:type="dxa" w:w="100"/>
              <w:right w:type="dxa" w:w="120"/>
            </w:tcMar>
          </w:tcPr>
          <w:p>
            <w:r>
              <w:rPr>
                <w:sz w:val="19"/>
                <w:szCs w:val="19"/>
              </w:rPr>
              <w:t xml:space="preserve">YouTube Data API (Google)</w:t>
            </w:r>
          </w:p>
        </w:tc>
        <w:tc>
          <w:tcPr>
            <w:tcMar>
              <w:top w:type="dxa" w:w="100"/>
              <w:left w:type="dxa" w:w="120"/>
              <w:bottom w:type="dxa" w:w="100"/>
              <w:right w:type="dxa" w:w="120"/>
            </w:tcMar>
          </w:tcPr>
          <w:p>
            <w:r>
              <w:rPr>
                <w:sz w:val="19"/>
                <w:szCs w:val="19"/>
              </w:rPr>
              <w:t xml:space="preserve">Recherche automatisée de vidéos pédagogiques associées à une notion</w:t>
            </w:r>
          </w:p>
        </w:tc>
        <w:tc>
          <w:tcPr>
            <w:tcMar>
              <w:top w:type="dxa" w:w="100"/>
              <w:left w:type="dxa" w:w="120"/>
              <w:bottom w:type="dxa" w:w="100"/>
              <w:right w:type="dxa" w:w="120"/>
            </w:tcMar>
          </w:tcPr>
          <w:p>
            <w:r>
              <w:rPr>
                <w:sz w:val="19"/>
                <w:szCs w:val="19"/>
              </w:rPr>
              <w:t xml:space="preserve">Requête par notion/matière/classe — sans transmission de données identifiantes de l'Élève</w:t>
            </w:r>
          </w:p>
        </w:tc>
      </w:tr>
    </w:tbl>
    <w:p>
      <w:pPr>
        <w:spacing w:after="120"/>
      </w:pPr>
    </w:p>
    <w:p>
      <w:pPr>
        <w:spacing w:after="160" w:line="300"/>
        <w:jc w:val="both"/>
      </w:pPr>
      <w:r>
        <w:rPr>
          <w:rFonts w:ascii="Calibri" w:cs="Calibri" w:eastAsia="Calibri" w:hAnsi="Calibri"/>
          <w:sz w:val="21"/>
          <w:szCs w:val="21"/>
        </w:rPr>
        <w:t xml:space="preserve">Nous ne partageons vos données avec aucun autre tiers, sauf obligation légale, réquisition d'une autorité compétente, ou consentement exprès préalable de l'Utilisateur.</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8 — TRANSFERTS INTERNATIONAUX DE DONNÉES</w:t>
      </w:r>
    </w:p>
    <w:p>
      <w:pPr>
        <w:spacing w:after="160" w:line="300"/>
        <w:jc w:val="both"/>
      </w:pPr>
      <w:r>
        <w:rPr>
          <w:rFonts w:ascii="Calibri" w:cs="Calibri" w:eastAsia="Calibri" w:hAnsi="Calibri"/>
          <w:sz w:val="21"/>
          <w:szCs w:val="21"/>
        </w:rPr>
        <w:t xml:space="preserve">Certains des prestataires mentionnés à l'Article 7 (notamment le fournisseur de l'API Anthropic Claude et, selon sa configuration technique, l'hébergement Cloudflare R2) sont susceptibles de traiter ou d'héberger des données en dehors du territoire camerounais.</w:t>
      </w:r>
    </w:p>
    <w:tbl>
      <w:tblPr>
        <w:tblW w:type="pct" w:w="100%"/>
        <w:tblBorders>
          <w:top w:val="single" w:color="B8862B" w:sz="4"/>
          <w:left w:val="single" w:color="B8862B" w:sz="4"/>
          <w:bottom w:val="single" w:color="B8862B" w:sz="4"/>
          <w:right w:val="single" w:color="B8862B" w:sz="4"/>
          <w:insideH w:val="none" w:color="FFFFFF" w:sz="0"/>
          <w:insideV w:val="none" w:color="FFFFFF" w:sz="0"/>
        </w:tblBorders>
      </w:tblPr>
      <w:tblGrid>
        <w:gridCol w:w="100"/>
      </w:tblGrid>
      <w:tr>
        <w:tc>
          <w:tcPr>
            <w:shd w:fill="F2F4F8" w:val="clear"/>
            <w:tcMar>
              <w:top w:type="dxa" w:w="160"/>
              <w:left w:type="dxa" w:w="200"/>
              <w:bottom w:type="dxa" w:w="160"/>
              <w:right w:type="dxa" w:w="200"/>
            </w:tcMar>
          </w:tcPr>
          <w:p>
            <w:pPr>
              <w:spacing w:after="80"/>
            </w:pPr>
            <w:r>
              <w:rPr>
                <w:rFonts w:ascii="Calibri" w:cs="Calibri" w:eastAsia="Calibri" w:hAnsi="Calibri"/>
                <w:b/>
                <w:bCs/>
                <w:color w:val="B8862B"/>
                <w:sz w:val="20"/>
                <w:szCs w:val="20"/>
              </w:rPr>
              <w:t xml:space="preserve">Obligation légale prioritaire</w:t>
            </w:r>
          </w:p>
          <w:p>
            <w:pPr>
              <w:spacing w:after="0" w:line="280"/>
              <w:jc w:val="both"/>
            </w:pPr>
            <w:r>
              <w:rPr>
                <w:rFonts w:ascii="Calibri" w:cs="Calibri" w:eastAsia="Calibri" w:hAnsi="Calibri"/>
                <w:i/>
                <w:iCs/>
                <w:color w:val="333333"/>
                <w:sz w:val="20"/>
                <w:szCs w:val="20"/>
              </w:rPr>
              <w:t xml:space="preserve">L'article 19 de la Loi n°2024/017 soumet tout transfert de données à caractère personnel vers un pays étranger à une autorisation préalable de l'Autorité de Protection des Données à Caractère Personnel, qui vérifie que le pays de destination offre un niveau de protection équivalent à celui garanti par la Loi. Klarity s'engage à solliciter cette autorisation, prestataire par prestataire, avant toute collecte de données réelles d'Élèves au-delà d'un environnement de test, et à ne pas ouvrir commercialement les fonctionnalités concernées tant que cette autorisation n'est pas obtenue. Cette démarche conditionne la licéité du recours à l'intelligence artificielle tel que décrit à l'Article 6.</w:t>
            </w:r>
          </w:p>
        </w:tc>
      </w:tr>
    </w:tbl>
    <w:p>
      <w:pPr>
        <w:spacing w:after="160" w:line="300"/>
        <w:jc w:val="both"/>
      </w:pPr>
      <w:r>
        <w:rPr>
          <w:rFonts w:ascii="Calibri" w:cs="Calibri" w:eastAsia="Calibri" w:hAnsi="Calibri"/>
          <w:sz w:val="21"/>
          <w:szCs w:val="21"/>
        </w:rPr>
        <w:t xml:space="preserve">Lorsqu'un transfert est autorisé, Klarity s'assure de la mise en place de garanties appropriées (clauses contractuelles de protection des données, engagements de confidentialité et de sécurité) avec chaque prestataire concerné, documentées dans le registre des activités de traitement tenu par Klarity.</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9 — DURÉE DE CONSERVATION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200"/>
      </w:tblGrid>
      <w:tr>
        <w:trPr>
          <w:tblHeader/>
        </w:trPr>
        <w:tc>
          <w:tcPr>
            <w:shd w:fill="1B2A4A" w:val="clear"/>
            <w:tcMar>
              <w:top w:type="dxa" w:w="100"/>
              <w:left w:type="dxa" w:w="120"/>
              <w:bottom w:type="dxa" w:w="100"/>
              <w:right w:type="dxa" w:w="120"/>
            </w:tcMar>
          </w:tcPr>
          <w:p>
            <w:r>
              <w:rPr>
                <w:b/>
                <w:bCs/>
                <w:color w:val="FFFFFF"/>
                <w:sz w:val="19"/>
                <w:szCs w:val="19"/>
              </w:rPr>
              <w:t xml:space="preserve">Catégorie de données</w:t>
            </w:r>
          </w:p>
        </w:tc>
        <w:tc>
          <w:tcPr>
            <w:shd w:fill="1B2A4A" w:val="clear"/>
            <w:tcMar>
              <w:top w:type="dxa" w:w="100"/>
              <w:left w:type="dxa" w:w="120"/>
              <w:bottom w:type="dxa" w:w="100"/>
              <w:right w:type="dxa" w:w="120"/>
            </w:tcMar>
          </w:tcPr>
          <w:p>
            <w:r>
              <w:rPr>
                <w:b/>
                <w:bCs/>
                <w:color w:val="FFFFFF"/>
                <w:sz w:val="19"/>
                <w:szCs w:val="19"/>
              </w:rPr>
              <w:t xml:space="preserve">Durée de conservation</w:t>
            </w:r>
          </w:p>
        </w:tc>
      </w:tr>
      <w:tr>
        <w:tc>
          <w:tcPr>
            <w:tcMar>
              <w:top w:type="dxa" w:w="100"/>
              <w:left w:type="dxa" w:w="120"/>
              <w:bottom w:type="dxa" w:w="100"/>
              <w:right w:type="dxa" w:w="120"/>
            </w:tcMar>
          </w:tcPr>
          <w:p>
            <w:r>
              <w:rPr>
                <w:sz w:val="19"/>
                <w:szCs w:val="19"/>
              </w:rPr>
              <w:t xml:space="preserve">Compte Élève actif</w:t>
            </w:r>
          </w:p>
        </w:tc>
        <w:tc>
          <w:tcPr>
            <w:tcMar>
              <w:top w:type="dxa" w:w="100"/>
              <w:left w:type="dxa" w:w="120"/>
              <w:bottom w:type="dxa" w:w="100"/>
              <w:right w:type="dxa" w:w="120"/>
            </w:tcMar>
          </w:tcPr>
          <w:p>
            <w:r>
              <w:rPr>
                <w:sz w:val="19"/>
                <w:szCs w:val="19"/>
              </w:rPr>
              <w:t xml:space="preserve">Pendant toute la durée d'utilisation de la Plateforme</w:t>
            </w:r>
          </w:p>
        </w:tc>
      </w:tr>
      <w:tr>
        <w:tc>
          <w:tcPr>
            <w:tcMar>
              <w:top w:type="dxa" w:w="100"/>
              <w:left w:type="dxa" w:w="120"/>
              <w:bottom w:type="dxa" w:w="100"/>
              <w:right w:type="dxa" w:w="120"/>
            </w:tcMar>
          </w:tcPr>
          <w:p>
            <w:r>
              <w:rPr>
                <w:sz w:val="19"/>
                <w:szCs w:val="19"/>
              </w:rPr>
              <w:t xml:space="preserve">Compte Élève inactif</w:t>
            </w:r>
          </w:p>
        </w:tc>
        <w:tc>
          <w:tcPr>
            <w:tcMar>
              <w:top w:type="dxa" w:w="100"/>
              <w:left w:type="dxa" w:w="120"/>
              <w:bottom w:type="dxa" w:w="100"/>
              <w:right w:type="dxa" w:w="120"/>
            </w:tcMar>
          </w:tcPr>
          <w:p>
            <w:r>
              <w:rPr>
                <w:sz w:val="19"/>
                <w:szCs w:val="19"/>
              </w:rPr>
              <w:t xml:space="preserve">Notification au Parent après une période d'inactivité prolongée, puis suppression ou anonymisation à défaut de réaction dans un délai raisonnable</w:t>
            </w:r>
          </w:p>
        </w:tc>
      </w:tr>
      <w:tr>
        <w:tc>
          <w:tcPr>
            <w:tcMar>
              <w:top w:type="dxa" w:w="100"/>
              <w:left w:type="dxa" w:w="120"/>
              <w:bottom w:type="dxa" w:w="100"/>
              <w:right w:type="dxa" w:w="120"/>
            </w:tcMar>
          </w:tcPr>
          <w:p>
            <w:r>
              <w:rPr>
                <w:sz w:val="19"/>
                <w:szCs w:val="19"/>
              </w:rPr>
              <w:t xml:space="preserve">Photographies de copies et corrigés</w:t>
            </w:r>
          </w:p>
        </w:tc>
        <w:tc>
          <w:tcPr>
            <w:tcMar>
              <w:top w:type="dxa" w:w="100"/>
              <w:left w:type="dxa" w:w="120"/>
              <w:bottom w:type="dxa" w:w="100"/>
              <w:right w:type="dxa" w:w="120"/>
            </w:tcMar>
          </w:tcPr>
          <w:p>
            <w:r>
              <w:rPr>
                <w:sz w:val="19"/>
                <w:szCs w:val="19"/>
              </w:rPr>
              <w:t xml:space="preserve">Durée nécessaire au suivi pédagogique de l'année scolaire en cours, puis suppression ou archivage restreint</w:t>
            </w:r>
          </w:p>
        </w:tc>
      </w:tr>
      <w:tr>
        <w:tc>
          <w:tcPr>
            <w:tcMar>
              <w:top w:type="dxa" w:w="100"/>
              <w:left w:type="dxa" w:w="120"/>
              <w:bottom w:type="dxa" w:w="100"/>
              <w:right w:type="dxa" w:w="120"/>
            </w:tcMar>
          </w:tcPr>
          <w:p>
            <w:r>
              <w:rPr>
                <w:sz w:val="19"/>
                <w:szCs w:val="19"/>
              </w:rPr>
              <w:t xml:space="preserve">Historique de conversation avec le chat-tuteur</w:t>
            </w:r>
          </w:p>
        </w:tc>
        <w:tc>
          <w:tcPr>
            <w:tcMar>
              <w:top w:type="dxa" w:w="100"/>
              <w:left w:type="dxa" w:w="120"/>
              <w:bottom w:type="dxa" w:w="100"/>
              <w:right w:type="dxa" w:w="120"/>
            </w:tcMar>
          </w:tcPr>
          <w:p>
            <w:r>
              <w:rPr>
                <w:sz w:val="19"/>
                <w:szCs w:val="19"/>
              </w:rPr>
              <w:t xml:space="preserve">Durée d'utilisation du Compte, sauf demande de suppression anticipée</w:t>
            </w:r>
          </w:p>
        </w:tc>
      </w:tr>
      <w:tr>
        <w:tc>
          <w:tcPr>
            <w:tcMar>
              <w:top w:type="dxa" w:w="100"/>
              <w:left w:type="dxa" w:w="120"/>
              <w:bottom w:type="dxa" w:w="100"/>
              <w:right w:type="dxa" w:w="120"/>
            </w:tcMar>
          </w:tcPr>
          <w:p>
            <w:r>
              <w:rPr>
                <w:sz w:val="19"/>
                <w:szCs w:val="19"/>
              </w:rPr>
              <w:t xml:space="preserve">Code de vérification (OTP)</w:t>
            </w:r>
          </w:p>
        </w:tc>
        <w:tc>
          <w:tcPr>
            <w:tcMar>
              <w:top w:type="dxa" w:w="100"/>
              <w:left w:type="dxa" w:w="120"/>
              <w:bottom w:type="dxa" w:w="100"/>
              <w:right w:type="dxa" w:w="120"/>
            </w:tcMar>
          </w:tcPr>
          <w:p>
            <w:r>
              <w:rPr>
                <w:sz w:val="19"/>
                <w:szCs w:val="19"/>
              </w:rPr>
              <w:t xml:space="preserve">Durée de validité très courte, puis suppression automatique après usage ou expiration</w:t>
            </w:r>
          </w:p>
        </w:tc>
      </w:tr>
      <w:tr>
        <w:tc>
          <w:tcPr>
            <w:tcMar>
              <w:top w:type="dxa" w:w="100"/>
              <w:left w:type="dxa" w:w="120"/>
              <w:bottom w:type="dxa" w:w="100"/>
              <w:right w:type="dxa" w:w="120"/>
            </w:tcMar>
          </w:tcPr>
          <w:p>
            <w:r>
              <w:rPr>
                <w:sz w:val="19"/>
                <w:szCs w:val="19"/>
              </w:rPr>
              <w:t xml:space="preserve">Données de transaction et de facturation</w:t>
            </w:r>
          </w:p>
        </w:tc>
        <w:tc>
          <w:tcPr>
            <w:tcMar>
              <w:top w:type="dxa" w:w="100"/>
              <w:left w:type="dxa" w:w="120"/>
              <w:bottom w:type="dxa" w:w="100"/>
              <w:right w:type="dxa" w:w="120"/>
            </w:tcMar>
          </w:tcPr>
          <w:p>
            <w:r>
              <w:rPr>
                <w:sz w:val="19"/>
                <w:szCs w:val="19"/>
              </w:rPr>
              <w:t xml:space="preserve">Durée légale de conservation applicable en matière comptable et fiscale</w:t>
            </w:r>
          </w:p>
        </w:tc>
      </w:tr>
      <w:tr>
        <w:tc>
          <w:tcPr>
            <w:tcMar>
              <w:top w:type="dxa" w:w="100"/>
              <w:left w:type="dxa" w:w="120"/>
              <w:bottom w:type="dxa" w:w="100"/>
              <w:right w:type="dxa" w:w="120"/>
            </w:tcMar>
          </w:tcPr>
          <w:p>
            <w:r>
              <w:rPr>
                <w:sz w:val="19"/>
                <w:szCs w:val="19"/>
              </w:rPr>
              <w:t xml:space="preserve">Journaux de sécurité (connexions, anomalies)</w:t>
            </w:r>
          </w:p>
        </w:tc>
        <w:tc>
          <w:tcPr>
            <w:tcMar>
              <w:top w:type="dxa" w:w="100"/>
              <w:left w:type="dxa" w:w="120"/>
              <w:bottom w:type="dxa" w:w="100"/>
              <w:right w:type="dxa" w:w="120"/>
            </w:tcMar>
          </w:tcPr>
          <w:p>
            <w:r>
              <w:rPr>
                <w:sz w:val="19"/>
                <w:szCs w:val="19"/>
              </w:rPr>
              <w:t xml:space="preserve">Durée limitée nécessaire à la détection d'incidents, conformément aux bonnes pratiques de sécurité</w:t>
            </w:r>
          </w:p>
        </w:tc>
      </w:tr>
      <w:tr>
        <w:tc>
          <w:tcPr>
            <w:tcMar>
              <w:top w:type="dxa" w:w="100"/>
              <w:left w:type="dxa" w:w="120"/>
              <w:bottom w:type="dxa" w:w="100"/>
              <w:right w:type="dxa" w:w="120"/>
            </w:tcMar>
          </w:tcPr>
          <w:p>
            <w:r>
              <w:rPr>
                <w:sz w:val="19"/>
                <w:szCs w:val="19"/>
              </w:rPr>
              <w:t xml:space="preserve">Données après clôture d'un Compte</w:t>
            </w:r>
          </w:p>
        </w:tc>
        <w:tc>
          <w:tcPr>
            <w:tcMar>
              <w:top w:type="dxa" w:w="100"/>
              <w:left w:type="dxa" w:w="120"/>
              <w:bottom w:type="dxa" w:w="100"/>
              <w:right w:type="dxa" w:w="120"/>
            </w:tcMar>
          </w:tcPr>
          <w:p>
            <w:r>
              <w:rPr>
                <w:sz w:val="19"/>
                <w:szCs w:val="19"/>
              </w:rPr>
              <w:t xml:space="preserve">Suppression ou anonymisation, sous réserve des obligations légales de conservation (notamment comptables)</w:t>
            </w:r>
          </w:p>
        </w:tc>
      </w:tr>
    </w:tbl>
    <w:p>
      <w:pPr>
        <w:spacing w:after="120"/>
      </w:pP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10 — SÉCURITÉ DES DONNÉES</w:t>
      </w:r>
    </w:p>
    <w:p>
      <w:pPr>
        <w:spacing w:after="160" w:line="300"/>
        <w:jc w:val="both"/>
      </w:pPr>
      <w:r>
        <w:rPr>
          <w:rFonts w:ascii="Calibri" w:cs="Calibri" w:eastAsia="Calibri" w:hAnsi="Calibri"/>
          <w:sz w:val="21"/>
          <w:szCs w:val="21"/>
        </w:rPr>
        <w:t xml:space="preserve">Klarity met en œuvre des mesures techniques et organisationnelles proportionnées à la sensibilité des données traitées, notamment celles d'un public mineur :</w:t>
      </w:r>
    </w:p>
    <w:p>
      <w:pPr>
        <w:pStyle w:val="ListParagraph"/>
        <w:numPr>
          <w:ilvl w:val="0"/>
          <w:numId w:val="2"/>
        </w:numPr>
        <w:spacing w:after="90" w:line="290"/>
        <w:jc w:val="both"/>
      </w:pPr>
      <w:r>
        <w:rPr>
          <w:rFonts w:ascii="Calibri" w:cs="Calibri" w:eastAsia="Calibri" w:hAnsi="Calibri"/>
          <w:sz w:val="21"/>
          <w:szCs w:val="21"/>
        </w:rPr>
        <w:t xml:space="preserve">hachage systématique des codes de vérification et des mots de passe — aucun stockage en clair ;</w:t>
      </w:r>
    </w:p>
    <w:p>
      <w:pPr>
        <w:pStyle w:val="ListParagraph"/>
        <w:numPr>
          <w:ilvl w:val="0"/>
          <w:numId w:val="2"/>
        </w:numPr>
        <w:spacing w:after="90" w:line="290"/>
        <w:jc w:val="both"/>
      </w:pPr>
      <w:r>
        <w:rPr>
          <w:rFonts w:ascii="Calibri" w:cs="Calibri" w:eastAsia="Calibri" w:hAnsi="Calibri"/>
          <w:sz w:val="21"/>
          <w:szCs w:val="21"/>
        </w:rPr>
        <w:t xml:space="preserve">chiffrement des données pédagogiques sensibles au repos ;</w:t>
      </w:r>
    </w:p>
    <w:p>
      <w:pPr>
        <w:pStyle w:val="ListParagraph"/>
        <w:numPr>
          <w:ilvl w:val="0"/>
          <w:numId w:val="2"/>
        </w:numPr>
        <w:spacing w:after="90" w:line="290"/>
        <w:jc w:val="both"/>
      </w:pPr>
      <w:r>
        <w:rPr>
          <w:rFonts w:ascii="Calibri" w:cs="Calibri" w:eastAsia="Calibri" w:hAnsi="Calibri"/>
          <w:sz w:val="21"/>
          <w:szCs w:val="21"/>
        </w:rPr>
        <w:t xml:space="preserve">URLs d'accès aux fichiers (copies, corrigés) signées et à durée de validité limitée ;</w:t>
      </w:r>
    </w:p>
    <w:p>
      <w:pPr>
        <w:pStyle w:val="ListParagraph"/>
        <w:numPr>
          <w:ilvl w:val="0"/>
          <w:numId w:val="2"/>
        </w:numPr>
        <w:spacing w:after="90" w:line="290"/>
        <w:jc w:val="both"/>
      </w:pPr>
      <w:r>
        <w:rPr>
          <w:rFonts w:ascii="Calibri" w:cs="Calibri" w:eastAsia="Calibri" w:hAnsi="Calibri"/>
          <w:sz w:val="21"/>
          <w:szCs w:val="21"/>
        </w:rPr>
        <w:t xml:space="preserve">séparation stricte, dans les appels au Service IA, entre le contenu déposé par l'Utilisateur et les instructions système ;</w:t>
      </w:r>
    </w:p>
    <w:p>
      <w:pPr>
        <w:pStyle w:val="ListParagraph"/>
        <w:numPr>
          <w:ilvl w:val="0"/>
          <w:numId w:val="2"/>
        </w:numPr>
        <w:spacing w:after="90" w:line="290"/>
        <w:jc w:val="both"/>
      </w:pPr>
      <w:r>
        <w:rPr>
          <w:rFonts w:ascii="Calibri" w:cs="Calibri" w:eastAsia="Calibri" w:hAnsi="Calibri"/>
          <w:sz w:val="21"/>
          <w:szCs w:val="21"/>
        </w:rPr>
        <w:t xml:space="preserve">vérification systématique de l'appartenance de toute ressource demandée à son propriétaire légitime, pour prévenir tout accès non autorisé aux données d'un autre Élève ;</w:t>
      </w:r>
    </w:p>
    <w:p>
      <w:pPr>
        <w:pStyle w:val="ListParagraph"/>
        <w:numPr>
          <w:ilvl w:val="0"/>
          <w:numId w:val="2"/>
        </w:numPr>
        <w:spacing w:after="90" w:line="290"/>
        <w:jc w:val="both"/>
      </w:pPr>
      <w:r>
        <w:rPr>
          <w:rFonts w:ascii="Calibri" w:cs="Calibri" w:eastAsia="Calibri" w:hAnsi="Calibri"/>
          <w:sz w:val="21"/>
          <w:szCs w:val="21"/>
        </w:rPr>
        <w:t xml:space="preserve">authentification à deux facteurs obligatoire pour les comptes Administrateur ;</w:t>
      </w:r>
    </w:p>
    <w:p>
      <w:pPr>
        <w:pStyle w:val="ListParagraph"/>
        <w:numPr>
          <w:ilvl w:val="0"/>
          <w:numId w:val="2"/>
        </w:numPr>
        <w:spacing w:after="90" w:line="290"/>
        <w:jc w:val="both"/>
      </w:pPr>
      <w:r>
        <w:rPr>
          <w:rFonts w:ascii="Calibri" w:cs="Calibri" w:eastAsia="Calibri" w:hAnsi="Calibri"/>
          <w:sz w:val="21"/>
          <w:szCs w:val="21"/>
        </w:rPr>
        <w:t xml:space="preserve">sessions authentifiées sans état stocké en mémoire locale du serveur, limitant les risques associés à une compromission d'instance ;</w:t>
      </w:r>
    </w:p>
    <w:p>
      <w:pPr>
        <w:pStyle w:val="ListParagraph"/>
        <w:numPr>
          <w:ilvl w:val="0"/>
          <w:numId w:val="2"/>
        </w:numPr>
        <w:spacing w:after="90" w:line="290"/>
        <w:jc w:val="both"/>
      </w:pPr>
      <w:r>
        <w:rPr>
          <w:rFonts w:ascii="Calibri" w:cs="Calibri" w:eastAsia="Calibri" w:hAnsi="Calibri"/>
          <w:sz w:val="21"/>
          <w:szCs w:val="21"/>
        </w:rPr>
        <w:t xml:space="preserve">journalisation dédiée des événements de sécurité (échecs de connexion, échecs d'OTP, accès refusés, anomalies de webhook de paiement) et supervision associée.</w:t>
      </w:r>
    </w:p>
    <w:p>
      <w:pPr>
        <w:spacing w:after="160" w:line="300"/>
        <w:jc w:val="both"/>
      </w:pPr>
      <w:r>
        <w:rPr>
          <w:rFonts w:ascii="Calibri" w:cs="Calibri" w:eastAsia="Calibri" w:hAnsi="Calibri"/>
          <w:sz w:val="21"/>
          <w:szCs w:val="21"/>
        </w:rPr>
        <w:t xml:space="preserve">Malgré ces mesures, Klarity ne peut garantir une sécurité absolue des données transmises via Internet. L'Utilisateur est invité à ne jamais communiquer son Code Élève, ses identifiants ou son code de vérification à un tiers.</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11 — COOKIES ET TRACEURS</w:t>
      </w:r>
    </w:p>
    <w:p>
      <w:pPr>
        <w:spacing w:after="160" w:line="300"/>
        <w:jc w:val="both"/>
      </w:pPr>
      <w:r>
        <w:rPr>
          <w:rFonts w:ascii="Calibri" w:cs="Calibri" w:eastAsia="Calibri" w:hAnsi="Calibri"/>
          <w:sz w:val="21"/>
          <w:szCs w:val="21"/>
        </w:rPr>
        <w:t xml:space="preserve">La Plateforme utilise uniquement les cookies strictement nécessaires à son fonctionnement (maintien de la session authentifiée). Aucun cookie publicitaire ni traceur à des fins de profilage marketing n'est déposé.</w:t>
      </w:r>
    </w:p>
    <w:p>
      <w:pPr>
        <w:spacing w:after="160" w:line="300"/>
        <w:jc w:val="both"/>
      </w:pPr>
      <w:r>
        <w:rPr>
          <w:rFonts w:ascii="Calibri" w:cs="Calibri" w:eastAsia="Calibri" w:hAnsi="Calibri"/>
          <w:sz w:val="21"/>
          <w:szCs w:val="21"/>
        </w:rPr>
        <w:t xml:space="preserve">Les vidéos pédagogiques sont intégrées via le domaine youtube-nocookie.com (mode confidentialité renforcée de l'IFrame Player API), qui ne dépose aucun cookie de suivi tant que l'Élève n'a pas interagi avec le lecteur vidéo — un choix technique retenu spécifiquement pour limiter le suivi publicitaire d'un public mineur.</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12 — VOS DROITS ET LEUR EXERCICE</w:t>
      </w:r>
    </w:p>
    <w:p>
      <w:pPr>
        <w:spacing w:after="160" w:line="300"/>
        <w:jc w:val="both"/>
      </w:pPr>
      <w:r>
        <w:rPr>
          <w:rFonts w:ascii="Calibri" w:cs="Calibri" w:eastAsia="Calibri" w:hAnsi="Calibri"/>
          <w:sz w:val="21"/>
          <w:szCs w:val="21"/>
        </w:rPr>
        <w:t xml:space="preserve">Conformément à la Loi, le Parent (au nom de l'Élève mineur qu'il représente) et, selon son âge et sa maturité, l'Élève lui-même, disposent des droits suivants :</w:t>
      </w:r>
    </w:p>
    <w:p>
      <w:pPr>
        <w:pStyle w:val="ListParagraph"/>
        <w:numPr>
          <w:ilvl w:val="0"/>
          <w:numId w:val="2"/>
        </w:numPr>
        <w:spacing w:after="90" w:line="290"/>
        <w:jc w:val="both"/>
      </w:pPr>
      <w:r>
        <w:rPr>
          <w:rFonts w:ascii="Calibri" w:cs="Calibri" w:eastAsia="Calibri" w:hAnsi="Calibri"/>
          <w:sz w:val="21"/>
          <w:szCs w:val="21"/>
        </w:rPr>
        <w:t xml:space="preserve">droit d'accès : obtenir la confirmation qu'une donnée est traitée et en obtenir une copie ;</w:t>
      </w:r>
    </w:p>
    <w:p>
      <w:pPr>
        <w:pStyle w:val="ListParagraph"/>
        <w:numPr>
          <w:ilvl w:val="0"/>
          <w:numId w:val="2"/>
        </w:numPr>
        <w:spacing w:after="90" w:line="290"/>
        <w:jc w:val="both"/>
      </w:pPr>
      <w:r>
        <w:rPr>
          <w:rFonts w:ascii="Calibri" w:cs="Calibri" w:eastAsia="Calibri" w:hAnsi="Calibri"/>
          <w:sz w:val="21"/>
          <w:szCs w:val="21"/>
        </w:rPr>
        <w:t xml:space="preserve">droit de rectification : corriger une donnée inexacte ou incomplète ;</w:t>
      </w:r>
    </w:p>
    <w:p>
      <w:pPr>
        <w:pStyle w:val="ListParagraph"/>
        <w:numPr>
          <w:ilvl w:val="0"/>
          <w:numId w:val="2"/>
        </w:numPr>
        <w:spacing w:after="90" w:line="290"/>
        <w:jc w:val="both"/>
      </w:pPr>
      <w:r>
        <w:rPr>
          <w:rFonts w:ascii="Calibri" w:cs="Calibri" w:eastAsia="Calibri" w:hAnsi="Calibri"/>
          <w:sz w:val="21"/>
          <w:szCs w:val="21"/>
        </w:rPr>
        <w:t xml:space="preserve">droit à l'effacement : demander la suppression des données, notamment en cas de retrait du consentement ;</w:t>
      </w:r>
    </w:p>
    <w:p>
      <w:pPr>
        <w:pStyle w:val="ListParagraph"/>
        <w:numPr>
          <w:ilvl w:val="0"/>
          <w:numId w:val="2"/>
        </w:numPr>
        <w:spacing w:after="90" w:line="290"/>
        <w:jc w:val="both"/>
      </w:pPr>
      <w:r>
        <w:rPr>
          <w:rFonts w:ascii="Calibri" w:cs="Calibri" w:eastAsia="Calibri" w:hAnsi="Calibri"/>
          <w:sz w:val="21"/>
          <w:szCs w:val="21"/>
        </w:rPr>
        <w:t xml:space="preserve">droit d'opposition : s'opposer, pour motif légitime, à un traitement fondé sur l'intérêt légitime de Klarity ;</w:t>
      </w:r>
    </w:p>
    <w:p>
      <w:pPr>
        <w:pStyle w:val="ListParagraph"/>
        <w:numPr>
          <w:ilvl w:val="0"/>
          <w:numId w:val="2"/>
        </w:numPr>
        <w:spacing w:after="90" w:line="290"/>
        <w:jc w:val="both"/>
      </w:pPr>
      <w:r>
        <w:rPr>
          <w:rFonts w:ascii="Calibri" w:cs="Calibri" w:eastAsia="Calibri" w:hAnsi="Calibri"/>
          <w:sz w:val="21"/>
          <w:szCs w:val="21"/>
        </w:rPr>
        <w:t xml:space="preserve">droit à la portabilité : recevoir les données fournies dans un format structuré et couramment utilisé ;</w:t>
      </w:r>
    </w:p>
    <w:p>
      <w:pPr>
        <w:pStyle w:val="ListParagraph"/>
        <w:numPr>
          <w:ilvl w:val="0"/>
          <w:numId w:val="2"/>
        </w:numPr>
        <w:spacing w:after="90" w:line="290"/>
        <w:jc w:val="both"/>
      </w:pPr>
      <w:r>
        <w:rPr>
          <w:rFonts w:ascii="Calibri" w:cs="Calibri" w:eastAsia="Calibri" w:hAnsi="Calibri"/>
          <w:sz w:val="21"/>
          <w:szCs w:val="21"/>
        </w:rPr>
        <w:t xml:space="preserve">droit de retirer son consentement à tout moment, sans effet rétroactif sur la licéité des traitements déjà réalisés, et entraînant la clôture du Compte Élève concerné ;</w:t>
      </w:r>
    </w:p>
    <w:p>
      <w:pPr>
        <w:pStyle w:val="ListParagraph"/>
        <w:numPr>
          <w:ilvl w:val="0"/>
          <w:numId w:val="2"/>
        </w:numPr>
        <w:spacing w:after="90" w:line="290"/>
        <w:jc w:val="both"/>
      </w:pPr>
      <w:r>
        <w:rPr>
          <w:rFonts w:ascii="Calibri" w:cs="Calibri" w:eastAsia="Calibri" w:hAnsi="Calibri"/>
          <w:sz w:val="21"/>
          <w:szCs w:val="21"/>
        </w:rPr>
        <w:t xml:space="preserve">droit d'introduire une réclamation auprès de l'Autorité de Protection des Données à Caractère Personnel compétente.</w:t>
      </w:r>
    </w:p>
    <w:p>
      <w:pPr>
        <w:pStyle w:val="Heading2"/>
        <w:spacing w:after="140" w:before="260"/>
      </w:pPr>
      <w:r>
        <w:rPr>
          <w:rFonts w:ascii="Calibri" w:cs="Calibri" w:eastAsia="Calibri" w:hAnsi="Calibri"/>
          <w:b/>
          <w:bCs/>
          <w:color w:val="1B2A4A"/>
          <w:sz w:val="23"/>
          <w:szCs w:val="23"/>
        </w:rPr>
        <w:t xml:space="preserve">Comment exercer ces droits</w:t>
      </w:r>
    </w:p>
    <w:p>
      <w:pPr>
        <w:spacing w:after="160" w:line="300"/>
        <w:jc w:val="both"/>
      </w:pPr>
      <w:r>
        <w:rPr>
          <w:rFonts w:ascii="Calibri" w:cs="Calibri" w:eastAsia="Calibri" w:hAnsi="Calibri"/>
          <w:sz w:val="21"/>
          <w:szCs w:val="21"/>
        </w:rPr>
        <w:t xml:space="preserve">Toute demande doit être adressée au Délégué à la Protection des Données de Klarity, dont les coordonnées sont communiquées aux Utilisateurs sur la Plateforme, en précisant l'identité du demandeur et, pour une demande formulée par un Parent, le Code Élève concerné afin de permettre la vérification de sa qualité de représentant légal. Klarity s'engage à répondre dans un délai raisonnable et, en tout état de cause, dans les meilleurs délais compatibles avec la nécessité de vérifier l'identité du demandeur.</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13 — DÉCISIONS AUTOMATISÉES ET PROFILAGE PÉDAGOGIQUE</w:t>
      </w:r>
    </w:p>
    <w:p>
      <w:pPr>
        <w:spacing w:after="160" w:line="300"/>
        <w:jc w:val="both"/>
      </w:pPr>
      <w:r>
        <w:rPr>
          <w:rFonts w:ascii="Calibri" w:cs="Calibri" w:eastAsia="Calibri" w:hAnsi="Calibri"/>
          <w:sz w:val="21"/>
          <w:szCs w:val="21"/>
        </w:rPr>
        <w:t xml:space="preserve">Klarity utilise un traitement automatisé pour détecter les lacunes récurrentes d'un Élève à partir de l'historique de ses corrections, et pour générer un quiz journalier ciblé sur ces lacunes. Ce traitement constitue une forme de profilage pédagogique, dont l'Élève et son Parent doivent être informés.</w:t>
      </w:r>
    </w:p>
    <w:p>
      <w:pPr>
        <w:pStyle w:val="ListParagraph"/>
        <w:numPr>
          <w:ilvl w:val="0"/>
          <w:numId w:val="2"/>
        </w:numPr>
        <w:spacing w:after="90" w:line="290"/>
        <w:jc w:val="both"/>
      </w:pPr>
      <w:r>
        <w:rPr>
          <w:rFonts w:ascii="Calibri" w:cs="Calibri" w:eastAsia="Calibri" w:hAnsi="Calibri"/>
          <w:sz w:val="21"/>
          <w:szCs w:val="21"/>
        </w:rPr>
        <w:t xml:space="preserve">ce profilage a pour unique finalité l'adaptation du contenu pédagogique proposé (quiz, vidéos de renforcement) et n'a aucun effet juridique ou similaire à l'encontre de l'Élève ;</w:t>
      </w:r>
    </w:p>
    <w:p>
      <w:pPr>
        <w:pStyle w:val="ListParagraph"/>
        <w:numPr>
          <w:ilvl w:val="0"/>
          <w:numId w:val="2"/>
        </w:numPr>
        <w:spacing w:after="90" w:line="290"/>
        <w:jc w:val="both"/>
      </w:pPr>
      <w:r>
        <w:rPr>
          <w:rFonts w:ascii="Calibri" w:cs="Calibri" w:eastAsia="Calibri" w:hAnsi="Calibri"/>
          <w:sz w:val="21"/>
          <w:szCs w:val="21"/>
        </w:rPr>
        <w:t xml:space="preserve">il ne fonde aucune décision d'orientation scolaire officielle ni aucune note transmise à un établissement ;</w:t>
      </w:r>
    </w:p>
    <w:p>
      <w:pPr>
        <w:pStyle w:val="ListParagraph"/>
        <w:numPr>
          <w:ilvl w:val="0"/>
          <w:numId w:val="2"/>
        </w:numPr>
        <w:spacing w:after="90" w:line="290"/>
        <w:jc w:val="both"/>
      </w:pPr>
      <w:r>
        <w:rPr>
          <w:rFonts w:ascii="Calibri" w:cs="Calibri" w:eastAsia="Calibri" w:hAnsi="Calibri"/>
          <w:sz w:val="21"/>
          <w:szCs w:val="21"/>
        </w:rPr>
        <w:t xml:space="preserve">les résultats de ce profilage (lacunes actives, lacunes résolues) sont visibles par le Parent depuis son tableau de bord, dans une logique de transparence ;</w:t>
      </w:r>
    </w:p>
    <w:p>
      <w:pPr>
        <w:pStyle w:val="ListParagraph"/>
        <w:numPr>
          <w:ilvl w:val="0"/>
          <w:numId w:val="2"/>
        </w:numPr>
        <w:spacing w:after="90" w:line="290"/>
        <w:jc w:val="both"/>
      </w:pPr>
      <w:r>
        <w:rPr>
          <w:rFonts w:ascii="Calibri" w:cs="Calibri" w:eastAsia="Calibri" w:hAnsi="Calibri"/>
          <w:sz w:val="21"/>
          <w:szCs w:val="21"/>
        </w:rPr>
        <w:t xml:space="preserve">le Parent peut demander la remise à zéro de ce profilage pédagogique dans le cadre de l'exercice de ses droits (Article 12).</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14 — VIOLATION DE DONNÉES</w:t>
      </w:r>
    </w:p>
    <w:p>
      <w:pPr>
        <w:spacing w:after="160" w:line="300"/>
        <w:jc w:val="both"/>
      </w:pPr>
      <w:r>
        <w:rPr>
          <w:rFonts w:ascii="Calibri" w:cs="Calibri" w:eastAsia="Calibri" w:hAnsi="Calibri"/>
          <w:sz w:val="21"/>
          <w:szCs w:val="21"/>
        </w:rPr>
        <w:t xml:space="preserve">En cas de violation de données à caractère personnel susceptible d'engendrer un risque pour les droits et libertés des personnes concernées, Klarity s'engage à notifier cette violation à l'Autorité de Protection des Données à Caractère Personnel sans délai, conformément à la Loi, et à informer les Utilisateurs concernés (via leur Parent pour un Élève mineur) lorsque cette violation est susceptible d'engendrer un risque élevé pour leurs droits.</w:t>
      </w:r>
    </w:p>
    <w:p>
      <w:pPr>
        <w:spacing w:after="160" w:line="300"/>
        <w:jc w:val="both"/>
      </w:pPr>
      <w:r>
        <w:rPr>
          <w:rFonts w:ascii="Calibri" w:cs="Calibri" w:eastAsia="Calibri" w:hAnsi="Calibri"/>
          <w:sz w:val="21"/>
          <w:szCs w:val="21"/>
        </w:rPr>
        <w:t xml:space="preserve">Klarity tient un registre interne des violations constatées, incluant leurs circonstances, leurs effets et les mesures prises pour y remédier, conformément à ses obligations de documentation.</w:t>
      </w:r>
    </w:p>
    <w:p>
      <w:pPr>
        <w:pStyle w:val="Heading1"/>
        <w:pBdr>
          <w:bottom w:val="single" w:color="B8862B" w:sz="6" w:space="4"/>
        </w:pBdr>
        <w:spacing w:after="200" w:before="420"/>
      </w:pPr>
      <w:r>
        <w:rPr>
          <w:rFonts w:ascii="Calibri" w:cs="Calibri" w:eastAsia="Calibri" w:hAnsi="Calibri"/>
          <w:b/>
          <w:bCs/>
          <w:color w:val="1B2A4A"/>
          <w:sz w:val="27"/>
          <w:szCs w:val="27"/>
        </w:rPr>
        <w:t xml:space="preserve">ARTICLE 15 — MISE À JOUR DE LA POLITIQUE</w:t>
      </w:r>
    </w:p>
    <w:p>
      <w:pPr>
        <w:spacing w:after="160" w:line="300"/>
        <w:jc w:val="both"/>
      </w:pPr>
      <w:r>
        <w:rPr>
          <w:rFonts w:ascii="Calibri" w:cs="Calibri" w:eastAsia="Calibri" w:hAnsi="Calibri"/>
          <w:sz w:val="21"/>
          <w:szCs w:val="21"/>
        </w:rPr>
        <w:t xml:space="preserve">La présente Politique peut être mise à jour pour tenir compte d'une évolution fonctionnelle de la Plateforme, d'un changement de sous-traitant, ou d'une évolution légale ou réglementaire. Toute modification substantielle (nouvelle catégorie de données, nouvelle finalité, nouveau destinataire) fait l'objet d'une information préalable des Utilisateurs, avec un délai raisonnable avant son entrée en vigueur. La date de dernière mise à jour figure en première page du présent document.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B6472"/>
        <w:sz w:val="16"/>
        <w:szCs w:val="16"/>
      </w:rPr>
      <w:t xml:space="preserve">KLARITY — Politique de Confidentialité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2026-08-15T20:14:02.148Z</dcterms:created>
  <dcterms:modified xsi:type="dcterms:W3CDTF">2026-08-15T20:14:02.164Z</dcterms:modified>
</cp:coreProperties>
</file>

<file path=docProps/custom.xml><?xml version="1.0" encoding="utf-8"?>
<Properties xmlns="http://schemas.openxmlformats.org/officeDocument/2006/custom-properties" xmlns:vt="http://schemas.openxmlformats.org/officeDocument/2006/docPropsVTypes"/>
</file>