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KLARITY</w:t>
      </w:r>
    </w:p>
    <w:p>
      <w:pPr>
        <w:spacing w:after="200"/>
        <w:jc w:val="center"/>
      </w:pPr>
      <w:r>
        <w:rPr>
          <w:b/>
          <w:bCs/>
          <w:sz w:val="32"/>
          <w:szCs w:val="32"/>
        </w:rPr>
        <w:t xml:space="preserve">POLITIQUE DE CONFIDENTIALITÉ</w:t>
      </w:r>
    </w:p>
    <w:p>
      <w:pPr>
        <w:spacing w:after="200"/>
        <w:jc w:val="center"/>
      </w:pPr>
      <w:r>
        <w:rPr>
          <w:i/>
          <w:iCs/>
          <w:sz w:val="22"/>
          <w:szCs w:val="22"/>
        </w:rPr>
        <w:t xml:space="preserve">Protection des données à caractère personnel — Élèves, Parents, Cameroun</w:t>
      </w:r>
    </w:p>
    <w:p>
      <w:pPr>
        <w:spacing w:after="120"/>
        <w:jc w:val="center"/>
      </w:pPr>
      <w:r>
        <w:rPr>
          <w:sz w:val="20"/>
          <w:szCs w:val="20"/>
        </w:rPr>
        <w:t xml:space="preserve">Document complémentaire aux Conditions Générales d'Utilisation de Klarity</w:t>
      </w:r>
    </w:p>
    <w:p>
      <w:pPr>
        <w:spacing w:after="200"/>
        <w:jc w:val="center"/>
      </w:pPr>
      <w:r>
        <w:rPr>
          <w:sz w:val="20"/>
          <w:szCs w:val="20"/>
        </w:rPr>
        <w:t xml:space="preserve">Version 1.2 — 13 septembre 2026</w:t>
      </w:r>
    </w:p>
    <w:p>
      <w:pPr>
        <w:pStyle w:val="Heading1"/>
        <w:spacing w:after="200" w:before="360"/>
      </w:pPr>
      <w:r>
        <w:rPr>
          <w:b/>
          <w:bCs/>
          <w:sz w:val="26"/>
          <w:szCs w:val="26"/>
        </w:rPr>
        <w:t xml:space="preserve">PRÉAMBULE</w:t>
      </w:r>
    </w:p>
    <w:p>
      <w:pPr>
        <w:spacing w:after="160"/>
      </w:pPr>
      <w:r>
        <w:rPr>
          <w:b w:val="false"/>
          <w:bCs w:val="false"/>
          <w:i w:val="false"/>
          <w:iCs w:val="false"/>
        </w:rPr>
        <w:t xml:space="preserve">La présente Politique de Confidentialité décrit la manière dont Klarity (ci-après « nous », « l'Éditeur ») collecte, utilise, partage, conserve et protège les données à caractère personnel des Utilisateurs de sa plateforme éducative — Élèves, Parents et Administrateurs — dans le cadre des services décrits dans les Conditions Générales d'Utilisation (CGU).</w:t>
      </w:r>
    </w:p>
    <w:p>
      <w:pPr>
        <w:spacing w:after="160"/>
      </w:pPr>
      <w:r>
        <w:rPr>
          <w:b w:val="false"/>
          <w:bCs w:val="false"/>
          <w:i w:val="false"/>
          <w:iCs w:val="false"/>
        </w:rPr>
        <w:t xml:space="preserve">Klarity accorde une attention particulière à la protection des données car la quasi-totalité de ses Utilisateurs finaux sont des mineurs scolarisés en classe de 3ème, 1ère ou Terminale. Cette Politique a été conçue pour rendre lisible, y compris par un Parent non spécialiste, l'ensemble des traitements réalisés sur les données de son enfant.</w:t>
      </w:r>
    </w:p>
    <w:p>
      <w:pPr>
        <w:spacing w:after="160"/>
      </w:pPr>
      <w:r>
        <w:rPr>
          <w:b w:val="false"/>
          <w:bCs w:val="false"/>
          <w:i w:val="false"/>
          <w:iCs w:val="false"/>
        </w:rPr>
        <w:t xml:space="preserve">Elle est rédigée conformément à la Loi n°2024/017 du 23 décembre 2024 relative à la protection des données à caractère personnel au Cameroun (ci-après « la Loi »), ainsi qu'aux dispositions pertinentes de la Loi n°2010/012 du 21 décembre 2010 relative à la cybersécurité et à la cybercriminalité au Cameroun. En cas de contradiction entre la présente Politique et les CGU sur une question de protection des données, la présente Politique prévaut.</w:t>
      </w:r>
    </w:p>
    <w:p>
      <w:pPr>
        <w:pStyle w:val="Heading1"/>
        <w:spacing w:after="200" w:before="360"/>
      </w:pPr>
      <w:r>
        <w:rPr>
          <w:b/>
          <w:bCs/>
          <w:sz w:val="26"/>
          <w:szCs w:val="26"/>
        </w:rPr>
        <w:t xml:space="preserve">ARTICLE 1 — RESPONSABLE DU TRAITEMENT</w:t>
      </w:r>
    </w:p>
    <w:p>
      <w:pPr>
        <w:spacing w:after="160"/>
      </w:pPr>
      <w:r>
        <w:rPr>
          <w:b w:val="false"/>
          <w:bCs w:val="false"/>
          <w:i w:val="false"/>
          <w:iCs w:val="false"/>
        </w:rPr>
        <w:t xml:space="preserve">Le responsable du traitement des données à caractère personnel collectées via la Plateforme Klarity est l'éditeur de la Plateforme, agissant à titre individuel (personne physique) ; à la date de la présente version, la Plateforme n'est exploitée par aucune société constituée.</w:t>
      </w:r>
    </w:p>
    <w:p>
      <w:pPr>
        <w:spacing w:after="160"/>
      </w:pPr>
      <w:r>
        <w:rPr>
          <w:b w:val="false"/>
          <w:bCs w:val="false"/>
          <w:i w:val="false"/>
          <w:iCs w:val="false"/>
        </w:rPr>
        <w:t xml:space="preserve">NOUMBOU NGUEDJI Cowen, dont l'adresse de correspondance est Lendi, Cameroun, ci-après « Klarity » ou « nous ».</w:t>
      </w:r>
    </w:p>
    <w:p>
      <w:pPr>
        <w:spacing w:after="160"/>
      </w:pPr>
      <w:r>
        <w:rPr>
          <w:b w:val="false"/>
          <w:bCs w:val="false"/>
          <w:i w:val="false"/>
          <w:iCs w:val="false"/>
        </w:rPr>
        <w:t xml:space="preserve">Klarity a désigné un Délégué à la Protection des Données (DPO), interlocuteur privilégié pour toute question relative au traitement des données personnelles et à l'exercice des droits décrits à l'Article 12. Coordonnées : cowen.noumbou@gmail.com — +237 681 74 19 73. Une adresse électronique dédiée (ex. dpo@klarity.cm), distincte de ce contact général, est recommandée avant la mise en production.</w:t>
      </w:r>
    </w:p>
    <w:p>
      <w:pPr>
        <w:pStyle w:val="Heading1"/>
        <w:spacing w:after="200" w:before="360"/>
      </w:pPr>
      <w:r>
        <w:rPr>
          <w:b/>
          <w:bCs/>
          <w:sz w:val="26"/>
          <w:szCs w:val="26"/>
        </w:rPr>
        <w:t xml:space="preserve">ARTICLE 2 — CHAMP D'APPLICATION</w:t>
      </w:r>
    </w:p>
    <w:p>
      <w:pPr>
        <w:spacing w:after="160"/>
      </w:pPr>
      <w:r>
        <w:rPr>
          <w:b w:val="false"/>
          <w:bCs w:val="false"/>
          <w:i w:val="false"/>
          <w:iCs w:val="false"/>
        </w:rPr>
        <w:t xml:space="preserve">La présente Politique s'applique à tout traitement de données à caractère personnel réalisé dans le cadre de l'utilisation de la Plateforme Klarity, quel que soit le canal d'accès (site web ou WhatsApp), et concerne :</w:t>
      </w:r>
    </w:p>
    <w:p>
      <w:pPr>
        <w:pStyle w:val="ListParagraph"/>
        <w:numPr>
          <w:ilvl w:val="0"/>
          <w:numId w:val="1"/>
        </w:numPr>
        <w:spacing w:after="80"/>
      </w:pPr>
      <w:r>
        <w:rPr>
          <w:b w:val="false"/>
          <w:bCs w:val="false"/>
          <w:i w:val="false"/>
          <w:iCs w:val="false"/>
        </w:rPr>
        <w:t xml:space="preserve">les données de l'Élève, collectées à l'inscription et générées par son usage de la Plateforme ;</w:t>
      </w:r>
    </w:p>
    <w:p>
      <w:pPr>
        <w:spacing w:after="80"/>
      </w:pPr>
    </w:p>
    <w:p>
      <w:pPr>
        <w:pStyle w:val="ListParagraph"/>
        <w:numPr>
          <w:ilvl w:val="0"/>
          <w:numId w:val="1"/>
        </w:numPr>
        <w:spacing w:after="80"/>
      </w:pPr>
      <w:r>
        <w:rPr>
          <w:b w:val="false"/>
          <w:bCs w:val="false"/>
          <w:i w:val="false"/>
          <w:iCs w:val="false"/>
        </w:rPr>
        <w:t xml:space="preserve">les données du Parent ou représentant légal, collectées lors de l'établissement du lien vérifié avec l'Élève ;</w:t>
      </w:r>
    </w:p>
    <w:p>
      <w:pPr>
        <w:spacing w:after="80"/>
      </w:pPr>
    </w:p>
    <w:p>
      <w:pPr>
        <w:pStyle w:val="ListParagraph"/>
        <w:numPr>
          <w:ilvl w:val="0"/>
          <w:numId w:val="1"/>
        </w:numPr>
        <w:spacing w:after="80"/>
      </w:pPr>
      <w:r>
        <w:rPr>
          <w:b w:val="false"/>
          <w:bCs w:val="false"/>
          <w:i w:val="false"/>
          <w:iCs w:val="false"/>
        </w:rPr>
        <w:t xml:space="preserve">les données de l'Administrateur, dans le cadre de la gestion du back-office ;</w:t>
      </w:r>
    </w:p>
    <w:p>
      <w:pPr>
        <w:spacing w:after="80"/>
      </w:pPr>
    </w:p>
    <w:p>
      <w:pPr>
        <w:pStyle w:val="ListParagraph"/>
        <w:numPr>
          <w:ilvl w:val="0"/>
          <w:numId w:val="1"/>
        </w:numPr>
        <w:spacing w:after="80"/>
      </w:pPr>
      <w:r>
        <w:rPr>
          <w:b w:val="false"/>
          <w:bCs w:val="false"/>
          <w:i w:val="false"/>
          <w:iCs w:val="false"/>
        </w:rPr>
        <w:t xml:space="preserve">les données techniques générées automatiquement par la navigation et l'usage des fonctionnalités (journaux, sécurité, usage de l'intelligence artificielle).</w:t>
      </w:r>
    </w:p>
    <w:p>
      <w:pPr>
        <w:spacing w:after="80"/>
      </w:pPr>
    </w:p>
    <w:p>
      <w:pPr>
        <w:spacing w:after="160"/>
      </w:pPr>
      <w:r>
        <w:rPr>
          <w:b w:val="false"/>
          <w:bCs w:val="false"/>
          <w:i w:val="false"/>
          <w:iCs w:val="false"/>
        </w:rPr>
        <w:t xml:space="preserve">Elle ne couvre pas les traitements réalisés par des sites tiers vers lesquels la Plateforme pourrait renvoyer (par exemple les vidéos YouTube), lesquels disposent de leur propre politique de confidentialité.</w:t>
      </w:r>
    </w:p>
    <w:p>
      <w:pPr>
        <w:pStyle w:val="Heading1"/>
        <w:spacing w:after="200" w:before="360"/>
      </w:pPr>
      <w:r>
        <w:rPr>
          <w:b/>
          <w:bCs/>
          <w:sz w:val="26"/>
          <w:szCs w:val="26"/>
        </w:rPr>
        <w:t xml:space="preserve">ARTICLE 3 — DONNÉES COLLECTÉES</w:t>
      </w:r>
    </w:p>
    <w:p>
      <w:pPr>
        <w:pStyle w:val="Heading2"/>
        <w:spacing w:after="160" w:before="240"/>
      </w:pPr>
      <w:r>
        <w:rPr>
          <w:b/>
          <w:bCs/>
          <w:sz w:val="23"/>
          <w:szCs w:val="23"/>
        </w:rPr>
        <w:t xml:space="preserve">3.1 Données relatives à l'Élève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DEBF7" w:color="auto" w:val="clear"/>
            <w:tcMar>
              <w:top w:type="dxa" w:w="80"/>
              <w:left w:type="dxa" w:w="100"/>
              <w:bottom w:type="dxa" w:w="80"/>
              <w:right w:type="dxa" w:w="100"/>
            </w:tcMar>
          </w:tcPr>
          <w:p>
            <w:pPr>
              <w:spacing w:after="0"/>
            </w:pPr>
            <w:r>
              <w:rPr>
                <w:b/>
                <w:bCs/>
                <w:i w:val="false"/>
                <w:iCs w:val="false"/>
              </w:rPr>
              <w:t xml:space="preserve">Catégorie</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Exemples</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Origine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Identification</w:t>
            </w:r>
          </w:p>
        </w:tc>
        <w:tc>
          <w:tcPr>
            <w:tcW w:type="dxa" w:w="3000"/>
            <w:tcMar>
              <w:top w:type="dxa" w:w="80"/>
              <w:left w:type="dxa" w:w="100"/>
              <w:bottom w:type="dxa" w:w="80"/>
              <w:right w:type="dxa" w:w="100"/>
            </w:tcMar>
          </w:tcPr>
          <w:p>
            <w:pPr>
              <w:spacing w:after="0"/>
            </w:pPr>
            <w:r>
              <w:rPr>
                <w:b w:val="false"/>
                <w:bCs w:val="false"/>
                <w:i w:val="false"/>
                <w:iCs w:val="false"/>
              </w:rPr>
              <w:t xml:space="preserve">Nom, classe, filière, langue, Code Élève (ELE-XXX-XXX)</w:t>
            </w:r>
          </w:p>
        </w:tc>
        <w:tc>
          <w:tcPr>
            <w:tcW w:type="dxa" w:w="3000"/>
            <w:tcMar>
              <w:top w:type="dxa" w:w="80"/>
              <w:left w:type="dxa" w:w="100"/>
              <w:bottom w:type="dxa" w:w="80"/>
              <w:right w:type="dxa" w:w="100"/>
            </w:tcMar>
          </w:tcPr>
          <w:p>
            <w:pPr>
              <w:spacing w:after="0"/>
            </w:pPr>
            <w:r>
              <w:rPr>
                <w:b w:val="false"/>
                <w:bCs w:val="false"/>
                <w:i w:val="false"/>
                <w:iCs w:val="false"/>
              </w:rPr>
              <w:t xml:space="preserve">Saisie à l'inscription</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Pédagogique</w:t>
            </w:r>
          </w:p>
        </w:tc>
        <w:tc>
          <w:tcPr>
            <w:tcW w:type="dxa" w:w="3000"/>
            <w:tcMar>
              <w:top w:type="dxa" w:w="80"/>
              <w:left w:type="dxa" w:w="100"/>
              <w:bottom w:type="dxa" w:w="80"/>
              <w:right w:type="dxa" w:w="100"/>
            </w:tcMar>
          </w:tcPr>
          <w:p>
            <w:pPr>
              <w:spacing w:after="0"/>
            </w:pPr>
            <w:r>
              <w:rPr>
                <w:b w:val="false"/>
                <w:bCs w:val="false"/>
                <w:i w:val="false"/>
                <w:iCs w:val="false"/>
              </w:rPr>
              <w:t xml:space="preserve">Photographies de copies, notes, corrigés, historique de tentatives, lacunes détectées, réponses aux quiz</w:t>
            </w:r>
          </w:p>
        </w:tc>
        <w:tc>
          <w:tcPr>
            <w:tcW w:type="dxa" w:w="3000"/>
            <w:tcMar>
              <w:top w:type="dxa" w:w="80"/>
              <w:left w:type="dxa" w:w="100"/>
              <w:bottom w:type="dxa" w:w="80"/>
              <w:right w:type="dxa" w:w="100"/>
            </w:tcMar>
          </w:tcPr>
          <w:p>
            <w:pPr>
              <w:spacing w:after="0"/>
            </w:pPr>
            <w:r>
              <w:rPr>
                <w:b w:val="false"/>
                <w:bCs w:val="false"/>
                <w:i w:val="false"/>
                <w:iCs w:val="false"/>
              </w:rPr>
              <w:t xml:space="preserve">Usage de la Plateforme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Échanges IA</w:t>
            </w:r>
          </w:p>
        </w:tc>
        <w:tc>
          <w:tcPr>
            <w:tcW w:type="dxa" w:w="3000"/>
            <w:tcMar>
              <w:top w:type="dxa" w:w="80"/>
              <w:left w:type="dxa" w:w="100"/>
              <w:bottom w:type="dxa" w:w="80"/>
              <w:right w:type="dxa" w:w="100"/>
            </w:tcMar>
          </w:tcPr>
          <w:p>
            <w:pPr>
              <w:spacing w:after="0"/>
            </w:pPr>
            <w:r>
              <w:rPr>
                <w:b w:val="false"/>
                <w:bCs w:val="false"/>
                <w:i w:val="false"/>
                <w:iCs w:val="false"/>
              </w:rPr>
              <w:t xml:space="preserve">Contenu des messages échangés avec le chat-tuteur</w:t>
            </w:r>
          </w:p>
        </w:tc>
        <w:tc>
          <w:tcPr>
            <w:tcW w:type="dxa" w:w="3000"/>
            <w:tcMar>
              <w:top w:type="dxa" w:w="80"/>
              <w:left w:type="dxa" w:w="100"/>
              <w:bottom w:type="dxa" w:w="80"/>
              <w:right w:type="dxa" w:w="100"/>
            </w:tcMar>
          </w:tcPr>
          <w:p>
            <w:pPr>
              <w:spacing w:after="0"/>
            </w:pPr>
            <w:r>
              <w:rPr>
                <w:b w:val="false"/>
                <w:bCs w:val="false"/>
                <w:i w:val="false"/>
                <w:iCs w:val="false"/>
              </w:rPr>
              <w:t xml:space="preserve">Usage de la Plateforme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Usage</w:t>
            </w:r>
          </w:p>
        </w:tc>
        <w:tc>
          <w:tcPr>
            <w:tcW w:type="dxa" w:w="3000"/>
            <w:tcMar>
              <w:top w:type="dxa" w:w="80"/>
              <w:left w:type="dxa" w:w="100"/>
              <w:bottom w:type="dxa" w:w="80"/>
              <w:right w:type="dxa" w:w="100"/>
            </w:tcMar>
          </w:tcPr>
          <w:p>
            <w:pPr>
              <w:spacing w:after="0"/>
            </w:pPr>
            <w:r>
              <w:rPr>
                <w:b w:val="false"/>
                <w:bCs w:val="false"/>
                <w:i w:val="false"/>
                <w:iCs w:val="false"/>
              </w:rPr>
              <w:t xml:space="preserve">Temps passé par session, canal utilisé (web / WhatsApp), date et heure de connexion</w:t>
            </w:r>
          </w:p>
        </w:tc>
        <w:tc>
          <w:tcPr>
            <w:tcW w:type="dxa" w:w="3000"/>
            <w:tcMar>
              <w:top w:type="dxa" w:w="80"/>
              <w:left w:type="dxa" w:w="100"/>
              <w:bottom w:type="dxa" w:w="80"/>
              <w:right w:type="dxa" w:w="100"/>
            </w:tcMar>
          </w:tcPr>
          <w:p>
            <w:pPr>
              <w:spacing w:after="0"/>
            </w:pPr>
            <w:r>
              <w:rPr>
                <w:b w:val="false"/>
                <w:bCs w:val="false"/>
                <w:i w:val="false"/>
                <w:iCs w:val="false"/>
              </w:rPr>
              <w:t xml:space="preserve">Collecte automatique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Abonnement</w:t>
            </w:r>
          </w:p>
        </w:tc>
        <w:tc>
          <w:tcPr>
            <w:tcW w:type="dxa" w:w="3000"/>
            <w:tcMar>
              <w:top w:type="dxa" w:w="80"/>
              <w:left w:type="dxa" w:w="100"/>
              <w:bottom w:type="dxa" w:w="80"/>
              <w:right w:type="dxa" w:w="100"/>
            </w:tcMar>
          </w:tcPr>
          <w:p>
            <w:pPr>
              <w:spacing w:after="0"/>
            </w:pPr>
            <w:r>
              <w:rPr>
                <w:b w:val="false"/>
                <w:bCs w:val="false"/>
                <w:i w:val="false"/>
                <w:iCs w:val="false"/>
              </w:rPr>
              <w:t xml:space="preserve">Plan souscrit, statut de l'abonnement, historique de renouvellement</w:t>
            </w:r>
          </w:p>
        </w:tc>
        <w:tc>
          <w:tcPr>
            <w:tcW w:type="dxa" w:w="3000"/>
            <w:tcMar>
              <w:top w:type="dxa" w:w="80"/>
              <w:left w:type="dxa" w:w="100"/>
              <w:bottom w:type="dxa" w:w="80"/>
              <w:right w:type="dxa" w:w="100"/>
            </w:tcMar>
          </w:tcPr>
          <w:p>
            <w:pPr>
              <w:spacing w:after="0"/>
            </w:pPr>
            <w:r>
              <w:rPr>
                <w:b w:val="false"/>
                <w:bCs w:val="false"/>
                <w:i w:val="false"/>
                <w:iCs w:val="false"/>
              </w:rPr>
              <w:t xml:space="preserve">Gestion de l'abonnement</w:t>
            </w:r>
          </w:p>
        </w:tc>
      </w:tr>
    </w:tbl>
    <w:p>
      <w:pPr>
        <w:spacing w:after="160"/>
      </w:pPr>
    </w:p>
    <w:p>
      <w:pPr>
        <w:pStyle w:val="Heading2"/>
        <w:spacing w:after="160" w:before="240"/>
      </w:pPr>
      <w:r>
        <w:rPr>
          <w:b/>
          <w:bCs/>
          <w:sz w:val="23"/>
          <w:szCs w:val="23"/>
        </w:rPr>
        <w:t xml:space="preserve">3.2 Données relatives au Parent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DEBF7" w:color="auto" w:val="clear"/>
            <w:tcMar>
              <w:top w:type="dxa" w:w="80"/>
              <w:left w:type="dxa" w:w="100"/>
              <w:bottom w:type="dxa" w:w="80"/>
              <w:right w:type="dxa" w:w="100"/>
            </w:tcMar>
          </w:tcPr>
          <w:p>
            <w:pPr>
              <w:spacing w:after="0"/>
            </w:pPr>
            <w:r>
              <w:rPr>
                <w:b/>
                <w:bCs/>
                <w:i w:val="false"/>
                <w:iCs w:val="false"/>
              </w:rPr>
              <w:t xml:space="preserve">Catégorie</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Exemples</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Origine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Identification et contact</w:t>
            </w:r>
          </w:p>
        </w:tc>
        <w:tc>
          <w:tcPr>
            <w:tcW w:type="dxa" w:w="3000"/>
            <w:tcMar>
              <w:top w:type="dxa" w:w="80"/>
              <w:left w:type="dxa" w:w="100"/>
              <w:bottom w:type="dxa" w:w="80"/>
              <w:right w:type="dxa" w:w="100"/>
            </w:tcMar>
          </w:tcPr>
          <w:p>
            <w:pPr>
              <w:spacing w:after="0"/>
            </w:pPr>
            <w:r>
              <w:rPr>
                <w:b w:val="false"/>
                <w:bCs w:val="false"/>
                <w:i w:val="false"/>
                <w:iCs w:val="false"/>
              </w:rPr>
              <w:t xml:space="preserve">Numéro de téléphone, date de la dernière connexion</w:t>
            </w:r>
          </w:p>
        </w:tc>
        <w:tc>
          <w:tcPr>
            <w:tcW w:type="dxa" w:w="3000"/>
            <w:tcMar>
              <w:top w:type="dxa" w:w="80"/>
              <w:left w:type="dxa" w:w="100"/>
              <w:bottom w:type="dxa" w:w="80"/>
              <w:right w:type="dxa" w:w="100"/>
            </w:tcMar>
          </w:tcPr>
          <w:p>
            <w:pPr>
              <w:spacing w:after="0"/>
            </w:pPr>
            <w:r>
              <w:rPr>
                <w:b w:val="false"/>
                <w:bCs w:val="false"/>
                <w:i w:val="false"/>
                <w:iCs w:val="false"/>
              </w:rPr>
              <w:t xml:space="preserve">Saisie lors de la vérification du lien</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Vérification</w:t>
            </w:r>
          </w:p>
        </w:tc>
        <w:tc>
          <w:tcPr>
            <w:tcW w:type="dxa" w:w="3000"/>
            <w:tcMar>
              <w:top w:type="dxa" w:w="80"/>
              <w:left w:type="dxa" w:w="100"/>
              <w:bottom w:type="dxa" w:w="80"/>
              <w:right w:type="dxa" w:w="100"/>
            </w:tcMar>
          </w:tcPr>
          <w:p>
            <w:pPr>
              <w:spacing w:after="0"/>
            </w:pPr>
            <w:r>
              <w:rPr>
                <w:b w:val="false"/>
                <w:bCs w:val="false"/>
                <w:i w:val="false"/>
                <w:iCs w:val="false"/>
              </w:rPr>
              <w:t xml:space="preserve">Code de vérification (OTP) — jamais conservé en clair, uniquement sous forme hachée</w:t>
            </w:r>
          </w:p>
        </w:tc>
        <w:tc>
          <w:tcPr>
            <w:tcW w:type="dxa" w:w="3000"/>
            <w:tcMar>
              <w:top w:type="dxa" w:w="80"/>
              <w:left w:type="dxa" w:w="100"/>
              <w:bottom w:type="dxa" w:w="80"/>
              <w:right w:type="dxa" w:w="100"/>
            </w:tcMar>
          </w:tcPr>
          <w:p>
            <w:pPr>
              <w:spacing w:after="0"/>
            </w:pPr>
            <w:r>
              <w:rPr>
                <w:b w:val="false"/>
                <w:bCs w:val="false"/>
                <w:i w:val="false"/>
                <w:iCs w:val="false"/>
              </w:rPr>
              <w:t xml:space="preserve">Génération automatique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Paiement</w:t>
            </w:r>
          </w:p>
        </w:tc>
        <w:tc>
          <w:tcPr>
            <w:tcW w:type="dxa" w:w="3000"/>
            <w:tcMar>
              <w:top w:type="dxa" w:w="80"/>
              <w:left w:type="dxa" w:w="100"/>
              <w:bottom w:type="dxa" w:w="80"/>
              <w:right w:type="dxa" w:w="100"/>
            </w:tcMar>
          </w:tcPr>
          <w:p>
            <w:pPr>
              <w:spacing w:after="0"/>
            </w:pPr>
            <w:r>
              <w:rPr>
                <w:b w:val="false"/>
                <w:bCs w:val="false"/>
                <w:i w:val="false"/>
                <w:iCs w:val="false"/>
              </w:rPr>
              <w:t xml:space="preserve">Numéro de téléphone du payeur, méthode de paiement, statut et référence de transaction — aucune donnée de carte bancaire</w:t>
            </w:r>
          </w:p>
        </w:tc>
        <w:tc>
          <w:tcPr>
            <w:tcW w:type="dxa" w:w="3000"/>
            <w:tcMar>
              <w:top w:type="dxa" w:w="80"/>
              <w:left w:type="dxa" w:w="100"/>
              <w:bottom w:type="dxa" w:w="80"/>
              <w:right w:type="dxa" w:w="100"/>
            </w:tcMar>
          </w:tcPr>
          <w:p>
            <w:pPr>
              <w:spacing w:after="0"/>
            </w:pPr>
            <w:r>
              <w:rPr>
                <w:b w:val="false"/>
                <w:bCs w:val="false"/>
                <w:i w:val="false"/>
                <w:iCs w:val="false"/>
              </w:rPr>
              <w:t xml:space="preserve">Transaction via NotchPay</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Préférence</w:t>
            </w:r>
          </w:p>
        </w:tc>
        <w:tc>
          <w:tcPr>
            <w:tcW w:type="dxa" w:w="3000"/>
            <w:tcMar>
              <w:top w:type="dxa" w:w="80"/>
              <w:left w:type="dxa" w:w="100"/>
              <w:bottom w:type="dxa" w:w="80"/>
              <w:right w:type="dxa" w:w="100"/>
            </w:tcMar>
          </w:tcPr>
          <w:p>
            <w:pPr>
              <w:spacing w:after="0"/>
            </w:pPr>
            <w:r>
              <w:rPr>
                <w:b w:val="false"/>
                <w:bCs w:val="false"/>
                <w:i w:val="false"/>
                <w:iCs w:val="false"/>
              </w:rPr>
              <w:t xml:space="preserve">Dernier enfant consulté (en cas de suivi de plusieurs Élèves)</w:t>
            </w:r>
          </w:p>
        </w:tc>
        <w:tc>
          <w:tcPr>
            <w:tcW w:type="dxa" w:w="3000"/>
            <w:tcMar>
              <w:top w:type="dxa" w:w="80"/>
              <w:left w:type="dxa" w:w="100"/>
              <w:bottom w:type="dxa" w:w="80"/>
              <w:right w:type="dxa" w:w="100"/>
            </w:tcMar>
          </w:tcPr>
          <w:p>
            <w:pPr>
              <w:spacing w:after="0"/>
            </w:pPr>
            <w:r>
              <w:rPr>
                <w:b w:val="false"/>
                <w:bCs w:val="false"/>
                <w:i w:val="false"/>
                <w:iCs w:val="false"/>
              </w:rPr>
              <w:t xml:space="preserve">Usage du tableau de bord</w:t>
            </w:r>
          </w:p>
        </w:tc>
      </w:tr>
    </w:tbl>
    <w:p>
      <w:pPr>
        <w:spacing w:after="160"/>
      </w:pPr>
    </w:p>
    <w:p>
      <w:pPr>
        <w:pStyle w:val="Heading2"/>
        <w:spacing w:after="160" w:before="240"/>
      </w:pPr>
      <w:r>
        <w:rPr>
          <w:b/>
          <w:bCs/>
          <w:sz w:val="23"/>
          <w:szCs w:val="23"/>
        </w:rPr>
        <w:t xml:space="preserve">3.3 Données relatives à l'Administrateur</w:t>
      </w:r>
    </w:p>
    <w:p>
      <w:pPr>
        <w:spacing w:after="160"/>
      </w:pPr>
      <w:r>
        <w:rPr>
          <w:b w:val="false"/>
          <w:bCs w:val="false"/>
          <w:i w:val="false"/>
          <w:iCs w:val="false"/>
        </w:rPr>
        <w:t xml:space="preserve">Adresse électronique professionnelle, mot de passe (conservé sous forme hachée, jamais en clair), secret d'authentification à deux facteurs (2FA), rôle attribué.</w:t>
      </w:r>
    </w:p>
    <w:p>
      <w:pPr>
        <w:pStyle w:val="Heading2"/>
        <w:spacing w:after="160" w:before="240"/>
      </w:pPr>
      <w:r>
        <w:rPr>
          <w:b/>
          <w:bCs/>
          <w:sz w:val="23"/>
          <w:szCs w:val="23"/>
        </w:rPr>
        <w:t xml:space="preserve">3.4 Données que nous ne collectons jamais</w:t>
      </w:r>
    </w:p>
    <w:p>
      <w:pPr>
        <w:pStyle w:val="ListParagraph"/>
        <w:numPr>
          <w:ilvl w:val="0"/>
          <w:numId w:val="1"/>
        </w:numPr>
        <w:spacing w:after="80"/>
      </w:pPr>
      <w:r>
        <w:rPr>
          <w:b w:val="false"/>
          <w:bCs w:val="false"/>
          <w:i w:val="false"/>
          <w:iCs w:val="false"/>
        </w:rPr>
        <w:t xml:space="preserve">aucune donnée de carte bancaire — Klarity ne propose pas de paiement par carte, le paiement s'effectuant exclusivement par Mobile Money via l'environnement sécurisé de NotchPay ;</w:t>
      </w:r>
    </w:p>
    <w:p>
      <w:pPr>
        <w:spacing w:after="80"/>
      </w:pPr>
    </w:p>
    <w:p>
      <w:pPr>
        <w:pStyle w:val="ListParagraph"/>
        <w:numPr>
          <w:ilvl w:val="0"/>
          <w:numId w:val="1"/>
        </w:numPr>
        <w:spacing w:after="80"/>
      </w:pPr>
      <w:r>
        <w:rPr>
          <w:b w:val="false"/>
          <w:bCs w:val="false"/>
          <w:i w:val="false"/>
          <w:iCs w:val="false"/>
        </w:rPr>
        <w:t xml:space="preserve">aucune donnée de géolocalisation précise ;</w:t>
      </w:r>
    </w:p>
    <w:p>
      <w:pPr>
        <w:spacing w:after="80"/>
      </w:pPr>
    </w:p>
    <w:p>
      <w:pPr>
        <w:pStyle w:val="ListParagraph"/>
        <w:numPr>
          <w:ilvl w:val="0"/>
          <w:numId w:val="1"/>
        </w:numPr>
        <w:spacing w:after="80"/>
      </w:pPr>
      <w:r>
        <w:rPr>
          <w:b w:val="false"/>
          <w:bCs w:val="false"/>
          <w:i w:val="false"/>
          <w:iCs w:val="false"/>
        </w:rPr>
        <w:t xml:space="preserve">aucune donnée de santé, d'origine ou de conviction religieuse, sauf si l'Utilisateur en fait mention volontairement dans un échange avec le chat-tuteur, auquel cas cette donnée n'est traitée qu'aux fins strictement pédagogiques de la conversation et n'est jamais exploitée à d'autres fins.</w:t>
      </w:r>
    </w:p>
    <w:p>
      <w:pPr>
        <w:spacing w:after="80"/>
      </w:pPr>
    </w:p>
    <w:p>
      <w:pPr>
        <w:pStyle w:val="Heading1"/>
        <w:spacing w:after="200" w:before="360"/>
      </w:pPr>
      <w:r>
        <w:rPr>
          <w:b/>
          <w:bCs/>
          <w:sz w:val="26"/>
          <w:szCs w:val="26"/>
        </w:rPr>
        <w:t xml:space="preserve">ARTICLE 4 — FINALITÉS ET BASES LÉGALES DU TRAITEMENT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DEBF7" w:color="auto" w:val="clear"/>
            <w:tcMar>
              <w:top w:type="dxa" w:w="80"/>
              <w:left w:type="dxa" w:w="100"/>
              <w:bottom w:type="dxa" w:w="80"/>
              <w:right w:type="dxa" w:w="100"/>
            </w:tcMar>
          </w:tcPr>
          <w:p>
            <w:pPr>
              <w:spacing w:after="0"/>
            </w:pPr>
            <w:r>
              <w:rPr>
                <w:b/>
                <w:bCs/>
                <w:i w:val="false"/>
                <w:iCs w:val="false"/>
              </w:rPr>
              <w:t xml:space="preserve">Finalité</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Données concernées</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Base légale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Fourniture du service pédagogique (chat, correction, quiz, lacunes)</w:t>
            </w:r>
          </w:p>
        </w:tc>
        <w:tc>
          <w:tcPr>
            <w:tcW w:type="dxa" w:w="3000"/>
            <w:tcMar>
              <w:top w:type="dxa" w:w="80"/>
              <w:left w:type="dxa" w:w="100"/>
              <w:bottom w:type="dxa" w:w="80"/>
              <w:right w:type="dxa" w:w="100"/>
            </w:tcMar>
          </w:tcPr>
          <w:p>
            <w:pPr>
              <w:spacing w:after="0"/>
            </w:pPr>
            <w:r>
              <w:rPr>
                <w:b w:val="false"/>
                <w:bCs w:val="false"/>
                <w:i w:val="false"/>
                <w:iCs w:val="false"/>
              </w:rPr>
              <w:t xml:space="preserve">Données pédagogiques, identification Élève</w:t>
            </w:r>
          </w:p>
        </w:tc>
        <w:tc>
          <w:tcPr>
            <w:tcW w:type="dxa" w:w="3000"/>
            <w:tcMar>
              <w:top w:type="dxa" w:w="80"/>
              <w:left w:type="dxa" w:w="100"/>
              <w:bottom w:type="dxa" w:w="80"/>
              <w:right w:type="dxa" w:w="100"/>
            </w:tcMar>
          </w:tcPr>
          <w:p>
            <w:pPr>
              <w:spacing w:after="0"/>
            </w:pPr>
            <w:r>
              <w:rPr>
                <w:b w:val="false"/>
                <w:bCs w:val="false"/>
                <w:i w:val="false"/>
                <w:iCs w:val="false"/>
              </w:rPr>
              <w:t xml:space="preserve">Exécution du contrat conclu avec l'Utilisateur, sous réserve du consentement parental (art. 5)</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Vérification du lien Parent–Élève et sécurisation des accès</w:t>
            </w:r>
          </w:p>
        </w:tc>
        <w:tc>
          <w:tcPr>
            <w:tcW w:type="dxa" w:w="3000"/>
            <w:tcMar>
              <w:top w:type="dxa" w:w="80"/>
              <w:left w:type="dxa" w:w="100"/>
              <w:bottom w:type="dxa" w:w="80"/>
              <w:right w:type="dxa" w:w="100"/>
            </w:tcMar>
          </w:tcPr>
          <w:p>
            <w:pPr>
              <w:spacing w:after="0"/>
            </w:pPr>
            <w:r>
              <w:rPr>
                <w:b w:val="false"/>
                <w:bCs w:val="false"/>
                <w:i w:val="false"/>
                <w:iCs w:val="false"/>
              </w:rPr>
              <w:t xml:space="preserve">Identification, OTP, journaux de connexion</w:t>
            </w:r>
          </w:p>
        </w:tc>
        <w:tc>
          <w:tcPr>
            <w:tcW w:type="dxa" w:w="3000"/>
            <w:tcMar>
              <w:top w:type="dxa" w:w="80"/>
              <w:left w:type="dxa" w:w="100"/>
              <w:bottom w:type="dxa" w:w="80"/>
              <w:right w:type="dxa" w:w="100"/>
            </w:tcMar>
          </w:tcPr>
          <w:p>
            <w:pPr>
              <w:spacing w:after="0"/>
            </w:pPr>
            <w:r>
              <w:rPr>
                <w:b w:val="false"/>
                <w:bCs w:val="false"/>
                <w:i w:val="false"/>
                <w:iCs w:val="false"/>
              </w:rPr>
              <w:t xml:space="preserve">Intérêt légitime lié à la sécurité des mineurs et obligation de vérification</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Gestion de l'abonnement et des paiements</w:t>
            </w:r>
          </w:p>
        </w:tc>
        <w:tc>
          <w:tcPr>
            <w:tcW w:type="dxa" w:w="3000"/>
            <w:tcMar>
              <w:top w:type="dxa" w:w="80"/>
              <w:left w:type="dxa" w:w="100"/>
              <w:bottom w:type="dxa" w:w="80"/>
              <w:right w:type="dxa" w:w="100"/>
            </w:tcMar>
          </w:tcPr>
          <w:p>
            <w:pPr>
              <w:spacing w:after="0"/>
            </w:pPr>
            <w:r>
              <w:rPr>
                <w:b w:val="false"/>
                <w:bCs w:val="false"/>
                <w:i w:val="false"/>
                <w:iCs w:val="false"/>
              </w:rPr>
              <w:t xml:space="preserve">Données d'abonnement et de transaction</w:t>
            </w:r>
          </w:p>
        </w:tc>
        <w:tc>
          <w:tcPr>
            <w:tcW w:type="dxa" w:w="3000"/>
            <w:tcMar>
              <w:top w:type="dxa" w:w="80"/>
              <w:left w:type="dxa" w:w="100"/>
              <w:bottom w:type="dxa" w:w="80"/>
              <w:right w:type="dxa" w:w="100"/>
            </w:tcMar>
          </w:tcPr>
          <w:p>
            <w:pPr>
              <w:spacing w:after="0"/>
            </w:pPr>
            <w:r>
              <w:rPr>
                <w:b w:val="false"/>
                <w:bCs w:val="false"/>
                <w:i w:val="false"/>
                <w:iCs w:val="false"/>
              </w:rPr>
              <w:t xml:space="preserve">Exécution du contrat</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Suivi de la progression par le Parent</w:t>
            </w:r>
          </w:p>
        </w:tc>
        <w:tc>
          <w:tcPr>
            <w:tcW w:type="dxa" w:w="3000"/>
            <w:tcMar>
              <w:top w:type="dxa" w:w="80"/>
              <w:left w:type="dxa" w:w="100"/>
              <w:bottom w:type="dxa" w:w="80"/>
              <w:right w:type="dxa" w:w="100"/>
            </w:tcMar>
          </w:tcPr>
          <w:p>
            <w:pPr>
              <w:spacing w:after="0"/>
            </w:pPr>
            <w:r>
              <w:rPr>
                <w:b w:val="false"/>
                <w:bCs w:val="false"/>
                <w:i w:val="false"/>
                <w:iCs w:val="false"/>
              </w:rPr>
              <w:t xml:space="preserve">Notes, lacunes, temps passé</w:t>
            </w:r>
          </w:p>
        </w:tc>
        <w:tc>
          <w:tcPr>
            <w:tcW w:type="dxa" w:w="3000"/>
            <w:tcMar>
              <w:top w:type="dxa" w:w="80"/>
              <w:left w:type="dxa" w:w="100"/>
              <w:bottom w:type="dxa" w:w="80"/>
              <w:right w:type="dxa" w:w="100"/>
            </w:tcMar>
          </w:tcPr>
          <w:p>
            <w:pPr>
              <w:spacing w:after="0"/>
            </w:pPr>
            <w:r>
              <w:rPr>
                <w:b w:val="false"/>
                <w:bCs w:val="false"/>
                <w:i w:val="false"/>
                <w:iCs w:val="false"/>
              </w:rPr>
              <w:t xml:space="preserve">Consentement parental et intérêt légitime du suivi éducatif</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Pilotage du coût d'usage de l'intelligence artificielle</w:t>
            </w:r>
          </w:p>
        </w:tc>
        <w:tc>
          <w:tcPr>
            <w:tcW w:type="dxa" w:w="3000"/>
            <w:tcMar>
              <w:top w:type="dxa" w:w="80"/>
              <w:left w:type="dxa" w:w="100"/>
              <w:bottom w:type="dxa" w:w="80"/>
              <w:right w:type="dxa" w:w="100"/>
            </w:tcMar>
          </w:tcPr>
          <w:p>
            <w:pPr>
              <w:spacing w:after="0"/>
            </w:pPr>
            <w:r>
              <w:rPr>
                <w:b w:val="false"/>
                <w:bCs w:val="false"/>
                <w:i w:val="false"/>
                <w:iCs w:val="false"/>
              </w:rPr>
              <w:t xml:space="preserve">Volume d'usage IA par Élève (tokens, nombre d'appels)</w:t>
            </w:r>
          </w:p>
        </w:tc>
        <w:tc>
          <w:tcPr>
            <w:tcW w:type="dxa" w:w="3000"/>
            <w:tcMar>
              <w:top w:type="dxa" w:w="80"/>
              <w:left w:type="dxa" w:w="100"/>
              <w:bottom w:type="dxa" w:w="80"/>
              <w:right w:type="dxa" w:w="100"/>
            </w:tcMar>
          </w:tcPr>
          <w:p>
            <w:pPr>
              <w:spacing w:after="0"/>
            </w:pPr>
            <w:r>
              <w:rPr>
                <w:b w:val="false"/>
                <w:bCs w:val="false"/>
                <w:i w:val="false"/>
                <w:iCs w:val="false"/>
              </w:rPr>
              <w:t xml:space="preserve">Intérêt légitime de Klarity à la viabilité économique du service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Sécurité de la Plateforme et prévention de la fraude</w:t>
            </w:r>
          </w:p>
        </w:tc>
        <w:tc>
          <w:tcPr>
            <w:tcW w:type="dxa" w:w="3000"/>
            <w:tcMar>
              <w:top w:type="dxa" w:w="80"/>
              <w:left w:type="dxa" w:w="100"/>
              <w:bottom w:type="dxa" w:w="80"/>
              <w:right w:type="dxa" w:w="100"/>
            </w:tcMar>
          </w:tcPr>
          <w:p>
            <w:pPr>
              <w:spacing w:after="0"/>
            </w:pPr>
            <w:r>
              <w:rPr>
                <w:b w:val="false"/>
                <w:bCs w:val="false"/>
                <w:i w:val="false"/>
                <w:iCs w:val="false"/>
              </w:rPr>
              <w:t xml:space="preserve">Journaux de sécurité, tentatives de connexion</w:t>
            </w:r>
          </w:p>
        </w:tc>
        <w:tc>
          <w:tcPr>
            <w:tcW w:type="dxa" w:w="3000"/>
            <w:tcMar>
              <w:top w:type="dxa" w:w="80"/>
              <w:left w:type="dxa" w:w="100"/>
              <w:bottom w:type="dxa" w:w="80"/>
              <w:right w:type="dxa" w:w="100"/>
            </w:tcMar>
          </w:tcPr>
          <w:p>
            <w:pPr>
              <w:spacing w:after="0"/>
            </w:pPr>
            <w:r>
              <w:rPr>
                <w:b w:val="false"/>
                <w:bCs w:val="false"/>
                <w:i w:val="false"/>
                <w:iCs w:val="false"/>
              </w:rPr>
              <w:t xml:space="preserve">Obligation légale et intérêt légitime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Respect des obligations légales</w:t>
            </w:r>
          </w:p>
        </w:tc>
        <w:tc>
          <w:tcPr>
            <w:tcW w:type="dxa" w:w="3000"/>
            <w:tcMar>
              <w:top w:type="dxa" w:w="80"/>
              <w:left w:type="dxa" w:w="100"/>
              <w:bottom w:type="dxa" w:w="80"/>
              <w:right w:type="dxa" w:w="100"/>
            </w:tcMar>
          </w:tcPr>
          <w:p>
            <w:pPr>
              <w:spacing w:after="0"/>
            </w:pPr>
            <w:r>
              <w:rPr>
                <w:b w:val="false"/>
                <w:bCs w:val="false"/>
                <w:i w:val="false"/>
                <w:iCs w:val="false"/>
              </w:rPr>
              <w:t xml:space="preserve">Ensemble des données concernées</w:t>
            </w:r>
          </w:p>
        </w:tc>
        <w:tc>
          <w:tcPr>
            <w:tcW w:type="dxa" w:w="3000"/>
            <w:tcMar>
              <w:top w:type="dxa" w:w="80"/>
              <w:left w:type="dxa" w:w="100"/>
              <w:bottom w:type="dxa" w:w="80"/>
              <w:right w:type="dxa" w:w="100"/>
            </w:tcMar>
          </w:tcPr>
          <w:p>
            <w:pPr>
              <w:spacing w:after="0"/>
            </w:pPr>
            <w:r>
              <w:rPr>
                <w:b w:val="false"/>
                <w:bCs w:val="false"/>
                <w:i w:val="false"/>
                <w:iCs w:val="false"/>
              </w:rPr>
              <w:t xml:space="preserve">Obligation légale (notamment fiscale et de lutte contre la fraude)</w:t>
            </w:r>
          </w:p>
        </w:tc>
      </w:tr>
    </w:tbl>
    <w:p>
      <w:pPr>
        <w:spacing w:after="160"/>
      </w:pPr>
    </w:p>
    <w:p>
      <w:pPr>
        <w:spacing w:after="160"/>
      </w:pPr>
      <w:r>
        <w:rPr>
          <w:b w:val="false"/>
          <w:bCs w:val="false"/>
          <w:i w:val="false"/>
          <w:iCs w:val="false"/>
        </w:rPr>
        <w:t xml:space="preserve">Aucune donnée n'est utilisée à des fins de publicité ciblée. Klarity ne vend ni ne loue aucune donnée à caractère personnel à des tiers.</w:t>
      </w:r>
    </w:p>
    <w:p>
      <w:pPr>
        <w:pStyle w:val="Heading1"/>
        <w:spacing w:after="200" w:before="360"/>
      </w:pPr>
      <w:r>
        <w:rPr>
          <w:b/>
          <w:bCs/>
          <w:sz w:val="26"/>
          <w:szCs w:val="26"/>
        </w:rPr>
        <w:t xml:space="preserve">ARTICLE 5 — DONNÉES DES MINEURS ET CONSENTEMENT PARENTAL</w:t>
      </w:r>
    </w:p>
    <w:p>
      <w:pPr>
        <w:spacing w:after="160"/>
      </w:pPr>
      <w:r>
        <w:rPr>
          <w:b w:val="false"/>
          <w:bCs w:val="false"/>
          <w:i w:val="false"/>
          <w:iCs w:val="false"/>
        </w:rPr>
        <w:t xml:space="preserve">Conformément à l'article 19 de la Loi, le traitement des données d'un mineur de moins de 18 ans est subordonné au consentement de son Parent ou représentant légal, en complément du consentement de l'Élève lorsque son âge le permet.</w:t>
      </w:r>
    </w:p>
    <w:p>
      <w:pPr>
        <w:pStyle w:val="Heading2"/>
        <w:spacing w:after="160" w:before="240"/>
      </w:pPr>
      <w:r>
        <w:rPr>
          <w:b/>
          <w:bCs/>
          <w:sz w:val="23"/>
          <w:szCs w:val="23"/>
        </w:rPr>
        <w:t xml:space="preserve">5.1 Mécanisme retenu par Klarity</w:t>
      </w:r>
    </w:p>
    <w:p>
      <w:pPr>
        <w:spacing w:after="160"/>
      </w:pPr>
      <w:r>
        <w:rPr>
          <w:b w:val="false"/>
          <w:bCs w:val="false"/>
          <w:i w:val="false"/>
          <w:iCs w:val="false"/>
        </w:rPr>
        <w:t xml:space="preserve">L'inscription initiale de l'Élève (nom, classe, filière) donne lieu à la génération d'un Code Élève. Dès cette inscription, l'Élève a accès à l'ensemble des fonctionnalités pédagogiques de la Plateforme, y compris le chat-tuteur et la correction automatisée de copies, sans que l'établissement préalable d'un lien vérifié avec un Parent ne conditionne cet accès. Ce code doit être transmis au Parent, qui établit ensuite le lien vérifié par numéro de téléphone et code de vérification (OTP). Tant que ce lien n'est pas établi, le Parent ne peut consulter aucune donnée relative à l'Élève ; l'établissement du lien matérialise, une fois réalisé, la reconnaissance a posteriori de l'autorité parentale sur l'usage déjà effectué par l'Élève.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50"/>
              <w:left w:type="dxa" w:w="150"/>
              <w:bottom w:type="dxa" w:w="150"/>
              <w:right w:type="dxa" w:w="150"/>
            </w:tcMar>
          </w:tcPr>
          <w:p>
            <w:pPr>
              <w:spacing w:after="0"/>
            </w:pPr>
            <w:r>
              <w:rPr>
                <w:b/>
                <w:bCs/>
                <w:i w:val="false"/>
                <w:iCs w:val="false"/>
              </w:rPr>
              <w:t xml:space="preserve">Transparence sur le dispositif retenu et son exposition juridique</w:t>
            </w:r>
            <w:r>
              <w:rPr>
                <w:b w:val="false"/>
                <w:bCs w:val="false"/>
                <w:i w:val="false"/>
                <w:iCs w:val="false"/>
              </w:rPr>
              <w:t xml:space="preserve"> </w:t>
            </w:r>
            <w:r>
              <w:rPr>
                <w:b w:val="false"/>
                <w:bCs w:val="false"/>
                <w:i/>
                <w:iCs/>
              </w:rPr>
              <w:t xml:space="preserve">Klarity a fait le choix, pour la version actuelle du service, de ne pas conditionner l'accès de l'Élève aux fonctionnalités pédagogiques — y compris le chat-tuteur et la correction automatisée de copies — à l'établissement préalable du lien vérifié avec un Parent. Le consentement parental est ainsi recueilli a posteriori, au moment où le Parent établit ce lien, et non strictement avant toute collecte de données pédagogiques, comme le prévoit en principe l'article 19 de la Loi. Ce choix, motivé par la réduction de la friction d'inscription dans un usage conçu comme un outil scolaire personnel, expose Klarity à un risque de non-conformité au regard de cet article tant que le lien n'est pas établi. Il fait l'objet d'un examen juridique préalable à toute publication et d'un suivi continu au regard de l'évolution de la doctrine de l'Autorité de Protection des Données à Caractère Personnel.</w:t>
            </w:r>
          </w:p>
        </w:tc>
      </w:tr>
    </w:tbl>
    <w:p>
      <w:pPr>
        <w:spacing w:after="160"/>
      </w:pPr>
    </w:p>
    <w:p>
      <w:pPr>
        <w:pStyle w:val="Heading2"/>
        <w:spacing w:after="160" w:before="240"/>
      </w:pPr>
      <w:r>
        <w:rPr>
          <w:b/>
          <w:bCs/>
          <w:sz w:val="23"/>
          <w:szCs w:val="23"/>
        </w:rPr>
        <w:t xml:space="preserve">5.2 Droits du Parent sur les données de l'Élève</w:t>
      </w:r>
    </w:p>
    <w:p>
      <w:pPr>
        <w:spacing w:after="160"/>
      </w:pPr>
      <w:r>
        <w:rPr>
          <w:b w:val="false"/>
          <w:bCs w:val="false"/>
          <w:i w:val="false"/>
          <w:iCs w:val="false"/>
        </w:rPr>
        <w:t xml:space="preserve">Le Parent titulaire d'un lien vérifié peut, à tout moment, demander l'accès, la rectification ou l'effacement des données de l'Élève qu'il représente, ainsi que le retrait de son consentement, ce retrait entraînant la clôture du Compte Élève concerné, selon les modalités de l'Article 12.</w:t>
      </w:r>
    </w:p>
    <w:p>
      <w:pPr>
        <w:pStyle w:val="Heading2"/>
        <w:spacing w:after="160" w:before="240"/>
      </w:pPr>
      <w:r>
        <w:rPr>
          <w:b/>
          <w:bCs/>
          <w:sz w:val="23"/>
          <w:szCs w:val="23"/>
        </w:rPr>
        <w:t xml:space="preserve">5.3 Collecte minimale</w:t>
      </w:r>
    </w:p>
    <w:p>
      <w:pPr>
        <w:spacing w:after="160"/>
      </w:pPr>
      <w:r>
        <w:rPr>
          <w:b w:val="false"/>
          <w:bCs w:val="false"/>
          <w:i w:val="false"/>
          <w:iCs w:val="false"/>
        </w:rPr>
        <w:t xml:space="preserve">Klarity applique un principe de collecte minimale à l'égard des Élèves : seules les données strictement nécessaires à la fourniture du service pédagogique sont collectées, à l'exclusion de toute donnée sans finalité pédagogique ou de sécurité identifiée.</w:t>
      </w:r>
    </w:p>
    <w:p>
      <w:pPr>
        <w:pStyle w:val="Heading1"/>
        <w:spacing w:after="200" w:before="360"/>
      </w:pPr>
      <w:r>
        <w:rPr>
          <w:b/>
          <w:bCs/>
          <w:sz w:val="26"/>
          <w:szCs w:val="26"/>
        </w:rPr>
        <w:t xml:space="preserve">ARTICLE 6 — INTELLIGENCE ARTIFICIELLE ET VOS DONNÉES</w:t>
      </w:r>
    </w:p>
    <w:p>
      <w:pPr>
        <w:spacing w:after="160"/>
      </w:pPr>
      <w:r>
        <w:rPr>
          <w:b w:val="false"/>
          <w:bCs w:val="false"/>
          <w:i w:val="false"/>
          <w:iCs w:val="false"/>
        </w:rPr>
        <w:t xml:space="preserve">Le chat-tuteur, la correction automatisée de copies, la génération de quiz et la détection de lacunes reposent sur des modèles d'intelligence artificielle fournis par un prestataire tiers (API Anthropic Claude), sollicités par Klarity via une interface applicative sécurisée.</w:t>
      </w:r>
    </w:p>
    <w:p>
      <w:pPr>
        <w:pStyle w:val="Heading2"/>
        <w:spacing w:after="160" w:before="240"/>
      </w:pPr>
      <w:r>
        <w:rPr>
          <w:b/>
          <w:bCs/>
          <w:sz w:val="23"/>
          <w:szCs w:val="23"/>
        </w:rPr>
        <w:t xml:space="preserve">6.1 Ce qui est transmis au fournisseur d'IA</w:t>
      </w:r>
    </w:p>
    <w:p>
      <w:pPr>
        <w:spacing w:after="160"/>
      </w:pPr>
      <w:r>
        <w:rPr>
          <w:b w:val="false"/>
          <w:bCs w:val="false"/>
          <w:i w:val="false"/>
          <w:iCs w:val="false"/>
        </w:rPr>
        <w:t xml:space="preserve">Selon la fonctionnalité utilisée, sont transmis : le contenu du message saisi par l'Élève (chat-tuteur), la photographie de la copie et le barème de l'épreuve concernée (correction), ou l'historique anonymisé des résultats nécessaires à l'identification d'une lacune (détection de lacunes). Le contenu déposé par l'Élève n'est jamais interprété comme une instruction système : il est strictement cloisonné du prompt de fonctionnement envoyé au modèle.</w:t>
      </w:r>
    </w:p>
    <w:p>
      <w:pPr>
        <w:pStyle w:val="Heading2"/>
        <w:spacing w:after="160" w:before="240"/>
      </w:pPr>
      <w:r>
        <w:rPr>
          <w:b/>
          <w:bCs/>
          <w:sz w:val="23"/>
          <w:szCs w:val="23"/>
        </w:rPr>
        <w:t xml:space="preserve">6.2 Ce que nous demandons contractuellement à notre fournisseur d'IA</w:t>
      </w:r>
    </w:p>
    <w:p>
      <w:pPr>
        <w:spacing w:after="160"/>
      </w:pPr>
      <w:r>
        <w:rPr>
          <w:b w:val="false"/>
          <w:bCs w:val="false"/>
          <w:i w:val="false"/>
          <w:iCs w:val="false"/>
        </w:rPr>
        <w:t xml:space="preserve">Klarity s'engage à ne recourir qu'à une offre d'API commerciale de son fournisseur d'intelligence artificielle assortie de garanties contractuelles de non-utilisation des données transmises pour l'entraînement des modèles de ce fournisseur, et à documenter cet engagement dans le contrat de sous-traitance conclu avec lui, conformément à l'exigence de l'article 7.5 des CGU.</w:t>
      </w:r>
    </w:p>
    <w:p>
      <w:pPr>
        <w:pStyle w:val="Heading2"/>
        <w:spacing w:after="160" w:before="240"/>
      </w:pPr>
      <w:r>
        <w:rPr>
          <w:b/>
          <w:bCs/>
          <w:sz w:val="23"/>
          <w:szCs w:val="23"/>
        </w:rPr>
        <w:t xml:space="preserve">6.3 Nature des résultats produits</w:t>
      </w:r>
    </w:p>
    <w:p>
      <w:pPr>
        <w:spacing w:after="160"/>
      </w:pPr>
      <w:r>
        <w:rPr>
          <w:b w:val="false"/>
          <w:bCs w:val="false"/>
          <w:i w:val="false"/>
          <w:iCs w:val="false"/>
        </w:rPr>
        <w:t xml:space="preserve">Les réponses, notes indicatives et corrigés générés par le Service IA sont des sorties automatisées, sujettes à erreur (cf. Article 8 des CGU). Elles sont associées, dans nos systèmes, au compte de l'Élève concerné à seule fin de permettre le suivi pédagogique et la détection de lacunes, jamais à des fins de profilage commercial.</w:t>
      </w:r>
    </w:p>
    <w:p>
      <w:pPr>
        <w:pStyle w:val="Heading1"/>
        <w:spacing w:after="200" w:before="360"/>
      </w:pPr>
      <w:r>
        <w:rPr>
          <w:b/>
          <w:bCs/>
          <w:sz w:val="26"/>
          <w:szCs w:val="26"/>
        </w:rPr>
        <w:t xml:space="preserve">ARTICLE 7 — DESTINATAIRES ET SOUS-TRAITANTS</w:t>
      </w:r>
    </w:p>
    <w:p>
      <w:pPr>
        <w:spacing w:after="160"/>
      </w:pPr>
      <w:r>
        <w:rPr>
          <w:b w:val="false"/>
          <w:bCs w:val="false"/>
          <w:i w:val="false"/>
          <w:iCs w:val="false"/>
        </w:rPr>
        <w:t xml:space="preserve">Vos données sont accessibles, dans la stricte limite de leurs missions respectives, aux personnels habilités de Klarity et aux prestataires suivants, chacun agissant en qualité de sous-traitant et lié par un contrat de traitement de données conforme à la Loi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DEBF7" w:color="auto" w:val="clear"/>
            <w:tcMar>
              <w:top w:type="dxa" w:w="80"/>
              <w:left w:type="dxa" w:w="100"/>
              <w:bottom w:type="dxa" w:w="80"/>
              <w:right w:type="dxa" w:w="100"/>
            </w:tcMar>
          </w:tcPr>
          <w:p>
            <w:pPr>
              <w:spacing w:after="0"/>
            </w:pPr>
            <w:r>
              <w:rPr>
                <w:b/>
                <w:bCs/>
                <w:i w:val="false"/>
                <w:iCs w:val="false"/>
              </w:rPr>
              <w:t xml:space="preserve">Prestataire</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Rôle</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Données concernées</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Anthropic (API Claude)</w:t>
            </w:r>
          </w:p>
        </w:tc>
        <w:tc>
          <w:tcPr>
            <w:tcW w:type="dxa" w:w="3000"/>
            <w:tcMar>
              <w:top w:type="dxa" w:w="80"/>
              <w:left w:type="dxa" w:w="100"/>
              <w:bottom w:type="dxa" w:w="80"/>
              <w:right w:type="dxa" w:w="100"/>
            </w:tcMar>
          </w:tcPr>
          <w:p>
            <w:pPr>
              <w:spacing w:after="0"/>
            </w:pPr>
            <w:r>
              <w:rPr>
                <w:b w:val="false"/>
                <w:bCs w:val="false"/>
                <w:i w:val="false"/>
                <w:iCs w:val="false"/>
              </w:rPr>
              <w:t xml:space="preserve">Traitement par intelligence artificielle : chat-tuteur, correction, détection de lacunes, génération de quiz</w:t>
            </w:r>
          </w:p>
        </w:tc>
        <w:tc>
          <w:tcPr>
            <w:tcW w:type="dxa" w:w="3000"/>
            <w:tcMar>
              <w:top w:type="dxa" w:w="80"/>
              <w:left w:type="dxa" w:w="100"/>
              <w:bottom w:type="dxa" w:w="80"/>
              <w:right w:type="dxa" w:w="100"/>
            </w:tcMar>
          </w:tcPr>
          <w:p>
            <w:pPr>
              <w:spacing w:after="0"/>
            </w:pPr>
            <w:r>
              <w:rPr>
                <w:b w:val="false"/>
                <w:bCs w:val="false"/>
                <w:i w:val="false"/>
                <w:iCs w:val="false"/>
              </w:rPr>
              <w:t xml:space="preserve">Contenu pédagogique transmis lors de l'usage du Service IA</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Cloudflare (stockage R2)</w:t>
            </w:r>
          </w:p>
        </w:tc>
        <w:tc>
          <w:tcPr>
            <w:tcW w:type="dxa" w:w="3000"/>
            <w:tcMar>
              <w:top w:type="dxa" w:w="80"/>
              <w:left w:type="dxa" w:w="100"/>
              <w:bottom w:type="dxa" w:w="80"/>
              <w:right w:type="dxa" w:w="100"/>
            </w:tcMar>
          </w:tcPr>
          <w:p>
            <w:pPr>
              <w:spacing w:after="0"/>
            </w:pPr>
            <w:r>
              <w:rPr>
                <w:b w:val="false"/>
                <w:bCs w:val="false"/>
                <w:i w:val="false"/>
                <w:iCs w:val="false"/>
              </w:rPr>
              <w:t xml:space="preserve">Hébergement sécurisé des fichiers (photographies de copies, corrigés)</w:t>
            </w:r>
          </w:p>
        </w:tc>
        <w:tc>
          <w:tcPr>
            <w:tcW w:type="dxa" w:w="3000"/>
            <w:tcMar>
              <w:top w:type="dxa" w:w="80"/>
              <w:left w:type="dxa" w:w="100"/>
              <w:bottom w:type="dxa" w:w="80"/>
              <w:right w:type="dxa" w:w="100"/>
            </w:tcMar>
          </w:tcPr>
          <w:p>
            <w:pPr>
              <w:spacing w:after="0"/>
            </w:pPr>
            <w:r>
              <w:rPr>
                <w:b w:val="false"/>
                <w:bCs w:val="false"/>
                <w:i w:val="false"/>
                <w:iCs w:val="false"/>
              </w:rPr>
              <w:t xml:space="preserve">Fichiers déposés par l'Élève, sous URL signée à durée limitée</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NotchPay</w:t>
            </w:r>
          </w:p>
        </w:tc>
        <w:tc>
          <w:tcPr>
            <w:tcW w:type="dxa" w:w="3000"/>
            <w:tcMar>
              <w:top w:type="dxa" w:w="80"/>
              <w:left w:type="dxa" w:w="100"/>
              <w:bottom w:type="dxa" w:w="80"/>
              <w:right w:type="dxa" w:w="100"/>
            </w:tcMar>
          </w:tcPr>
          <w:p>
            <w:pPr>
              <w:spacing w:after="0"/>
            </w:pPr>
            <w:r>
              <w:rPr>
                <w:b w:val="false"/>
                <w:bCs w:val="false"/>
                <w:i w:val="false"/>
                <w:iCs w:val="false"/>
              </w:rPr>
              <w:t xml:space="preserve">Traitement des paiements Mobile Money</w:t>
            </w:r>
          </w:p>
        </w:tc>
        <w:tc>
          <w:tcPr>
            <w:tcW w:type="dxa" w:w="3000"/>
            <w:tcMar>
              <w:top w:type="dxa" w:w="80"/>
              <w:left w:type="dxa" w:w="100"/>
              <w:bottom w:type="dxa" w:w="80"/>
              <w:right w:type="dxa" w:w="100"/>
            </w:tcMar>
          </w:tcPr>
          <w:p>
            <w:pPr>
              <w:spacing w:after="0"/>
            </w:pPr>
            <w:r>
              <w:rPr>
                <w:b w:val="false"/>
                <w:bCs w:val="false"/>
                <w:i w:val="false"/>
                <w:iCs w:val="false"/>
              </w:rPr>
              <w:t xml:space="preserve">Données de transaction, numéro de téléphone du payeur</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Fournisseur SMS / WhatsApp Business API</w:t>
            </w:r>
          </w:p>
        </w:tc>
        <w:tc>
          <w:tcPr>
            <w:tcW w:type="dxa" w:w="3000"/>
            <w:tcMar>
              <w:top w:type="dxa" w:w="80"/>
              <w:left w:type="dxa" w:w="100"/>
              <w:bottom w:type="dxa" w:w="80"/>
              <w:right w:type="dxa" w:w="100"/>
            </w:tcMar>
          </w:tcPr>
          <w:p>
            <w:pPr>
              <w:spacing w:after="0"/>
            </w:pPr>
            <w:r>
              <w:rPr>
                <w:b w:val="false"/>
                <w:bCs w:val="false"/>
                <w:i w:val="false"/>
                <w:iCs w:val="false"/>
              </w:rPr>
              <w:t xml:space="preserve">Envoi des codes de vérification (OTP) et notifications (rappel d'abonnement)</w:t>
            </w:r>
          </w:p>
        </w:tc>
        <w:tc>
          <w:tcPr>
            <w:tcW w:type="dxa" w:w="3000"/>
            <w:tcMar>
              <w:top w:type="dxa" w:w="80"/>
              <w:left w:type="dxa" w:w="100"/>
              <w:bottom w:type="dxa" w:w="80"/>
              <w:right w:type="dxa" w:w="100"/>
            </w:tcMar>
          </w:tcPr>
          <w:p>
            <w:pPr>
              <w:spacing w:after="0"/>
            </w:pPr>
            <w:r>
              <w:rPr>
                <w:b w:val="false"/>
                <w:bCs w:val="false"/>
                <w:i w:val="false"/>
                <w:iCs w:val="false"/>
              </w:rPr>
              <w:t xml:space="preserve">Numéro de téléphone du Parent</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YouTube Data API (Google)</w:t>
            </w:r>
          </w:p>
        </w:tc>
        <w:tc>
          <w:tcPr>
            <w:tcW w:type="dxa" w:w="3000"/>
            <w:tcMar>
              <w:top w:type="dxa" w:w="80"/>
              <w:left w:type="dxa" w:w="100"/>
              <w:bottom w:type="dxa" w:w="80"/>
              <w:right w:type="dxa" w:w="100"/>
            </w:tcMar>
          </w:tcPr>
          <w:p>
            <w:pPr>
              <w:spacing w:after="0"/>
            </w:pPr>
            <w:r>
              <w:rPr>
                <w:b w:val="false"/>
                <w:bCs w:val="false"/>
                <w:i w:val="false"/>
                <w:iCs w:val="false"/>
              </w:rPr>
              <w:t xml:space="preserve">Recherche automatisée de vidéos pédagogiques associées à une notion</w:t>
            </w:r>
          </w:p>
        </w:tc>
        <w:tc>
          <w:tcPr>
            <w:tcW w:type="dxa" w:w="3000"/>
            <w:tcMar>
              <w:top w:type="dxa" w:w="80"/>
              <w:left w:type="dxa" w:w="100"/>
              <w:bottom w:type="dxa" w:w="80"/>
              <w:right w:type="dxa" w:w="100"/>
            </w:tcMar>
          </w:tcPr>
          <w:p>
            <w:pPr>
              <w:spacing w:after="0"/>
            </w:pPr>
            <w:r>
              <w:rPr>
                <w:b w:val="false"/>
                <w:bCs w:val="false"/>
                <w:i w:val="false"/>
                <w:iCs w:val="false"/>
              </w:rPr>
              <w:t xml:space="preserve">Requête par notion/matière/classe — sans transmission de données identifiantes de l'Élève</w:t>
            </w:r>
          </w:p>
        </w:tc>
      </w:tr>
    </w:tbl>
    <w:p>
      <w:pPr>
        <w:spacing w:after="160"/>
      </w:pPr>
    </w:p>
    <w:p>
      <w:pPr>
        <w:spacing w:after="160"/>
      </w:pPr>
      <w:r>
        <w:rPr>
          <w:b w:val="false"/>
          <w:bCs w:val="false"/>
          <w:i w:val="false"/>
          <w:iCs w:val="false"/>
        </w:rPr>
        <w:t xml:space="preserve">Nous ne partageons vos données avec aucun autre tiers, sauf obligation légale, réquisition d'une autorité compétente, ou consentement exprès préalable de l'Utilisateur.</w:t>
      </w:r>
    </w:p>
    <w:p>
      <w:pPr>
        <w:pStyle w:val="Heading1"/>
        <w:spacing w:after="200" w:before="360"/>
      </w:pPr>
      <w:r>
        <w:rPr>
          <w:b/>
          <w:bCs/>
          <w:sz w:val="26"/>
          <w:szCs w:val="26"/>
        </w:rPr>
        <w:t xml:space="preserve">ARTICLE 9 — DURÉE DE CONSERVATION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DEBF7" w:color="auto" w:val="clear"/>
            <w:tcMar>
              <w:top w:type="dxa" w:w="80"/>
              <w:left w:type="dxa" w:w="100"/>
              <w:bottom w:type="dxa" w:w="80"/>
              <w:right w:type="dxa" w:w="100"/>
            </w:tcMar>
          </w:tcPr>
          <w:p>
            <w:pPr>
              <w:spacing w:after="0"/>
            </w:pPr>
            <w:r>
              <w:rPr>
                <w:b/>
                <w:bCs/>
                <w:i w:val="false"/>
                <w:iCs w:val="false"/>
              </w:rPr>
              <w:t xml:space="preserve">Catégorie de données</w:t>
            </w:r>
          </w:p>
        </w:tc>
        <w:tc>
          <w:tcPr>
            <w:tcW w:type="dxa" w:w="4500"/>
            <w:shd w:fill="DDEBF7" w:color="auto" w:val="clear"/>
            <w:tcMar>
              <w:top w:type="dxa" w:w="80"/>
              <w:left w:type="dxa" w:w="100"/>
              <w:bottom w:type="dxa" w:w="80"/>
              <w:right w:type="dxa" w:w="100"/>
            </w:tcMar>
          </w:tcPr>
          <w:p>
            <w:pPr>
              <w:spacing w:after="0"/>
            </w:pPr>
            <w:r>
              <w:rPr>
                <w:b/>
                <w:bCs/>
                <w:i w:val="false"/>
                <w:iCs w:val="false"/>
              </w:rPr>
              <w:t xml:space="preserve">Durée de conservation</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Compte Élève actif</w:t>
            </w:r>
          </w:p>
        </w:tc>
        <w:tc>
          <w:tcPr>
            <w:tcW w:type="dxa" w:w="4500"/>
            <w:tcMar>
              <w:top w:type="dxa" w:w="80"/>
              <w:left w:type="dxa" w:w="100"/>
              <w:bottom w:type="dxa" w:w="80"/>
              <w:right w:type="dxa" w:w="100"/>
            </w:tcMar>
          </w:tcPr>
          <w:p>
            <w:pPr>
              <w:spacing w:after="0"/>
            </w:pPr>
            <w:r>
              <w:rPr>
                <w:b w:val="false"/>
                <w:bCs w:val="false"/>
                <w:i w:val="false"/>
                <w:iCs w:val="false"/>
              </w:rPr>
              <w:t xml:space="preserve">Pendant toute la durée d'utilisation de la Plateforme</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Compte Élève inactif</w:t>
            </w:r>
          </w:p>
        </w:tc>
        <w:tc>
          <w:tcPr>
            <w:tcW w:type="dxa" w:w="4500"/>
            <w:tcMar>
              <w:top w:type="dxa" w:w="80"/>
              <w:left w:type="dxa" w:w="100"/>
              <w:bottom w:type="dxa" w:w="80"/>
              <w:right w:type="dxa" w:w="100"/>
            </w:tcMar>
          </w:tcPr>
          <w:p>
            <w:pPr>
              <w:spacing w:after="0"/>
            </w:pPr>
            <w:r>
              <w:rPr>
                <w:b w:val="false"/>
                <w:bCs w:val="false"/>
                <w:i w:val="false"/>
                <w:iCs w:val="false"/>
              </w:rPr>
              <w:t xml:space="preserve">Notification au Parent après une période d'inactivité prolongée, puis suppression ou anonymisation à défaut de réaction dans un délai raisonnable</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Photographies de copies et corrigés</w:t>
            </w:r>
          </w:p>
        </w:tc>
        <w:tc>
          <w:tcPr>
            <w:tcW w:type="dxa" w:w="4500"/>
            <w:tcMar>
              <w:top w:type="dxa" w:w="80"/>
              <w:left w:type="dxa" w:w="100"/>
              <w:bottom w:type="dxa" w:w="80"/>
              <w:right w:type="dxa" w:w="100"/>
            </w:tcMar>
          </w:tcPr>
          <w:p>
            <w:pPr>
              <w:spacing w:after="0"/>
            </w:pPr>
            <w:r>
              <w:rPr>
                <w:b w:val="false"/>
                <w:bCs w:val="false"/>
                <w:i w:val="false"/>
                <w:iCs w:val="false"/>
              </w:rPr>
              <w:t xml:space="preserve">Durée nécessaire au suivi pédagogique de l'année scolaire en cours, puis suppression ou archivage restreint</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Historique de conversation avec le chat-tuteur</w:t>
            </w:r>
          </w:p>
        </w:tc>
        <w:tc>
          <w:tcPr>
            <w:tcW w:type="dxa" w:w="4500"/>
            <w:tcMar>
              <w:top w:type="dxa" w:w="80"/>
              <w:left w:type="dxa" w:w="100"/>
              <w:bottom w:type="dxa" w:w="80"/>
              <w:right w:type="dxa" w:w="100"/>
            </w:tcMar>
          </w:tcPr>
          <w:p>
            <w:pPr>
              <w:spacing w:after="0"/>
            </w:pPr>
            <w:r>
              <w:rPr>
                <w:b w:val="false"/>
                <w:bCs w:val="false"/>
                <w:i w:val="false"/>
                <w:iCs w:val="false"/>
              </w:rPr>
              <w:t xml:space="preserve">Durée d'utilisation du Compte, sauf demande de suppression anticipée</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Code de vérification (OTP)</w:t>
            </w:r>
          </w:p>
        </w:tc>
        <w:tc>
          <w:tcPr>
            <w:tcW w:type="dxa" w:w="4500"/>
            <w:tcMar>
              <w:top w:type="dxa" w:w="80"/>
              <w:left w:type="dxa" w:w="100"/>
              <w:bottom w:type="dxa" w:w="80"/>
              <w:right w:type="dxa" w:w="100"/>
            </w:tcMar>
          </w:tcPr>
          <w:p>
            <w:pPr>
              <w:spacing w:after="0"/>
            </w:pPr>
            <w:r>
              <w:rPr>
                <w:b w:val="false"/>
                <w:bCs w:val="false"/>
                <w:i w:val="false"/>
                <w:iCs w:val="false"/>
              </w:rPr>
              <w:t xml:space="preserve">Durée de validité très courte, puis suppression automatique après usage ou expiration</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Données de transaction et de facturation</w:t>
            </w:r>
          </w:p>
        </w:tc>
        <w:tc>
          <w:tcPr>
            <w:tcW w:type="dxa" w:w="4500"/>
            <w:tcMar>
              <w:top w:type="dxa" w:w="80"/>
              <w:left w:type="dxa" w:w="100"/>
              <w:bottom w:type="dxa" w:w="80"/>
              <w:right w:type="dxa" w:w="100"/>
            </w:tcMar>
          </w:tcPr>
          <w:p>
            <w:pPr>
              <w:spacing w:after="0"/>
            </w:pPr>
            <w:r>
              <w:rPr>
                <w:b w:val="false"/>
                <w:bCs w:val="false"/>
                <w:i w:val="false"/>
                <w:iCs w:val="false"/>
              </w:rPr>
              <w:t xml:space="preserve">Durée légale de conservation applicable en matière comptable et fiscale</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Journaux de sécurité (connexions, anomalies)</w:t>
            </w:r>
          </w:p>
        </w:tc>
        <w:tc>
          <w:tcPr>
            <w:tcW w:type="dxa" w:w="4500"/>
            <w:tcMar>
              <w:top w:type="dxa" w:w="80"/>
              <w:left w:type="dxa" w:w="100"/>
              <w:bottom w:type="dxa" w:w="80"/>
              <w:right w:type="dxa" w:w="100"/>
            </w:tcMar>
          </w:tcPr>
          <w:p>
            <w:pPr>
              <w:spacing w:after="0"/>
            </w:pPr>
            <w:r>
              <w:rPr>
                <w:b w:val="false"/>
                <w:bCs w:val="false"/>
                <w:i w:val="false"/>
                <w:iCs w:val="false"/>
              </w:rPr>
              <w:t xml:space="preserve">Durée limitée nécessaire à la détection d'incidents, conformément aux bonnes pratiques de sécurité</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Données après clôture d'un Compte</w:t>
            </w:r>
          </w:p>
        </w:tc>
        <w:tc>
          <w:tcPr>
            <w:tcW w:type="dxa" w:w="4500"/>
            <w:tcMar>
              <w:top w:type="dxa" w:w="80"/>
              <w:left w:type="dxa" w:w="100"/>
              <w:bottom w:type="dxa" w:w="80"/>
              <w:right w:type="dxa" w:w="100"/>
            </w:tcMar>
          </w:tcPr>
          <w:p>
            <w:pPr>
              <w:spacing w:after="0"/>
            </w:pPr>
            <w:r>
              <w:rPr>
                <w:b w:val="false"/>
                <w:bCs w:val="false"/>
                <w:i w:val="false"/>
                <w:iCs w:val="false"/>
              </w:rPr>
              <w:t xml:space="preserve">Suppression ou anonymisation, sous réserve des obligations légales de conservation (notamment comptables)</w:t>
            </w:r>
          </w:p>
        </w:tc>
      </w:tr>
    </w:tbl>
    <w:p>
      <w:pPr>
        <w:spacing w:after="160"/>
      </w:pPr>
    </w:p>
    <w:p>
      <w:pPr>
        <w:pStyle w:val="Heading1"/>
        <w:spacing w:after="200" w:before="360"/>
      </w:pPr>
      <w:r>
        <w:rPr>
          <w:b/>
          <w:bCs/>
          <w:sz w:val="26"/>
          <w:szCs w:val="26"/>
        </w:rPr>
        <w:t xml:space="preserve">ARTICLE 10 — SÉCURITÉ DES DONNÉES</w:t>
      </w:r>
    </w:p>
    <w:p>
      <w:pPr>
        <w:spacing w:after="160"/>
      </w:pPr>
      <w:r>
        <w:rPr>
          <w:b w:val="false"/>
          <w:bCs w:val="false"/>
          <w:i w:val="false"/>
          <w:iCs w:val="false"/>
        </w:rPr>
        <w:t xml:space="preserve">Klarity met en œuvre des mesures techniques et organisationnelles proportionnées à la sensibilité des données traitées, notamment celles d'un public mineur :</w:t>
      </w:r>
    </w:p>
    <w:p>
      <w:pPr>
        <w:pStyle w:val="ListParagraph"/>
        <w:numPr>
          <w:ilvl w:val="0"/>
          <w:numId w:val="1"/>
        </w:numPr>
        <w:spacing w:after="80"/>
      </w:pPr>
      <w:r>
        <w:rPr>
          <w:b w:val="false"/>
          <w:bCs w:val="false"/>
          <w:i w:val="false"/>
          <w:iCs w:val="false"/>
        </w:rPr>
        <w:t xml:space="preserve">hachage systématique des codes de vérification et des mots de passe — aucun stockage en clair ;</w:t>
      </w:r>
    </w:p>
    <w:p>
      <w:pPr>
        <w:spacing w:after="80"/>
      </w:pPr>
    </w:p>
    <w:p>
      <w:pPr>
        <w:pStyle w:val="ListParagraph"/>
        <w:numPr>
          <w:ilvl w:val="0"/>
          <w:numId w:val="1"/>
        </w:numPr>
        <w:spacing w:after="80"/>
      </w:pPr>
      <w:r>
        <w:rPr>
          <w:b w:val="false"/>
          <w:bCs w:val="false"/>
          <w:i w:val="false"/>
          <w:iCs w:val="false"/>
        </w:rPr>
        <w:t xml:space="preserve">chiffrement des données pédagogiques sensibles au repos ;</w:t>
      </w:r>
    </w:p>
    <w:p>
      <w:pPr>
        <w:spacing w:after="80"/>
      </w:pPr>
    </w:p>
    <w:p>
      <w:pPr>
        <w:pStyle w:val="ListParagraph"/>
        <w:numPr>
          <w:ilvl w:val="0"/>
          <w:numId w:val="1"/>
        </w:numPr>
        <w:spacing w:after="80"/>
      </w:pPr>
      <w:r>
        <w:rPr>
          <w:b w:val="false"/>
          <w:bCs w:val="false"/>
          <w:i w:val="false"/>
          <w:iCs w:val="false"/>
        </w:rPr>
        <w:t xml:space="preserve">URLs d'accès aux fichiers (copies, corrigés) signées et à durée de validité limitée ;</w:t>
      </w:r>
    </w:p>
    <w:p>
      <w:pPr>
        <w:spacing w:after="80"/>
      </w:pPr>
    </w:p>
    <w:p>
      <w:pPr>
        <w:pStyle w:val="ListParagraph"/>
        <w:numPr>
          <w:ilvl w:val="0"/>
          <w:numId w:val="1"/>
        </w:numPr>
        <w:spacing w:after="80"/>
      </w:pPr>
      <w:r>
        <w:rPr>
          <w:b w:val="false"/>
          <w:bCs w:val="false"/>
          <w:i w:val="false"/>
          <w:iCs w:val="false"/>
        </w:rPr>
        <w:t xml:space="preserve">séparation stricte, dans les appels au Service IA, entre le contenu déposé par l'Utilisateur et les instructions système ;</w:t>
      </w:r>
    </w:p>
    <w:p>
      <w:pPr>
        <w:spacing w:after="80"/>
      </w:pPr>
    </w:p>
    <w:p>
      <w:pPr>
        <w:pStyle w:val="ListParagraph"/>
        <w:numPr>
          <w:ilvl w:val="0"/>
          <w:numId w:val="1"/>
        </w:numPr>
        <w:spacing w:after="80"/>
      </w:pPr>
      <w:r>
        <w:rPr>
          <w:b w:val="false"/>
          <w:bCs w:val="false"/>
          <w:i w:val="false"/>
          <w:iCs w:val="false"/>
        </w:rPr>
        <w:t xml:space="preserve">vérification systématique de l'appartenance de toute ressource demandée à son propriétaire légitime, pour prévenir tout accès non autorisé aux données d'un autre Élève ;</w:t>
      </w:r>
    </w:p>
    <w:p>
      <w:pPr>
        <w:spacing w:after="80"/>
      </w:pPr>
    </w:p>
    <w:p>
      <w:pPr>
        <w:pStyle w:val="ListParagraph"/>
        <w:numPr>
          <w:ilvl w:val="0"/>
          <w:numId w:val="1"/>
        </w:numPr>
        <w:spacing w:after="80"/>
      </w:pPr>
      <w:r>
        <w:rPr>
          <w:b w:val="false"/>
          <w:bCs w:val="false"/>
          <w:i w:val="false"/>
          <w:iCs w:val="false"/>
        </w:rPr>
        <w:t xml:space="preserve">authentification à deux facteurs obligatoire pour les comptes Administrateur ;</w:t>
      </w:r>
    </w:p>
    <w:p>
      <w:pPr>
        <w:spacing w:after="80"/>
      </w:pPr>
    </w:p>
    <w:p>
      <w:pPr>
        <w:pStyle w:val="ListParagraph"/>
        <w:numPr>
          <w:ilvl w:val="0"/>
          <w:numId w:val="1"/>
        </w:numPr>
        <w:spacing w:after="80"/>
      </w:pPr>
      <w:r>
        <w:rPr>
          <w:b w:val="false"/>
          <w:bCs w:val="false"/>
          <w:i w:val="false"/>
          <w:iCs w:val="false"/>
        </w:rPr>
        <w:t xml:space="preserve">sessions authentifiées sans état stocké en mémoire locale du serveur, limitant les risques associés à une compromission d'instance ;</w:t>
      </w:r>
    </w:p>
    <w:p>
      <w:pPr>
        <w:spacing w:after="80"/>
      </w:pPr>
    </w:p>
    <w:p>
      <w:pPr>
        <w:pStyle w:val="ListParagraph"/>
        <w:numPr>
          <w:ilvl w:val="0"/>
          <w:numId w:val="1"/>
        </w:numPr>
        <w:spacing w:after="80"/>
      </w:pPr>
      <w:r>
        <w:rPr>
          <w:b w:val="false"/>
          <w:bCs w:val="false"/>
          <w:i w:val="false"/>
          <w:iCs w:val="false"/>
        </w:rPr>
        <w:t xml:space="preserve">journalisation dédiée des événements de sécurité (échecs de connexion, échecs d'OTP, accès refusés, anomalies de webhook de paiement) et supervision associée.</w:t>
      </w:r>
    </w:p>
    <w:p>
      <w:pPr>
        <w:spacing w:after="80"/>
      </w:pPr>
    </w:p>
    <w:p>
      <w:pPr>
        <w:spacing w:after="160"/>
      </w:pPr>
      <w:r>
        <w:rPr>
          <w:b w:val="false"/>
          <w:bCs w:val="false"/>
          <w:i w:val="false"/>
          <w:iCs w:val="false"/>
        </w:rPr>
        <w:t xml:space="preserve">Malgré ces mesures, Klarity ne peut garantir une sécurité absolue des données transmises via Internet. L'Utilisateur est invité à ne jamais communiquer son Code Élève, ses identifiants ou son code de vérification à un tiers.</w:t>
      </w:r>
    </w:p>
    <w:p>
      <w:pPr>
        <w:pStyle w:val="Heading1"/>
        <w:spacing w:after="200" w:before="360"/>
      </w:pPr>
      <w:r>
        <w:rPr>
          <w:b/>
          <w:bCs/>
          <w:sz w:val="26"/>
          <w:szCs w:val="26"/>
        </w:rPr>
        <w:t xml:space="preserve">ARTICLE 11 — COOKIES ET TRACEURS</w:t>
      </w:r>
    </w:p>
    <w:p>
      <w:pPr>
        <w:spacing w:after="160"/>
      </w:pPr>
      <w:r>
        <w:rPr>
          <w:b w:val="false"/>
          <w:bCs w:val="false"/>
          <w:i w:val="false"/>
          <w:iCs w:val="false"/>
        </w:rPr>
        <w:t xml:space="preserve">La Plateforme utilise uniquement les cookies strictement nécessaires à son fonctionnement (maintien de la session authentifiée). Aucun cookie publicitaire ni traceur à des fins de profilage marketing n'est déposé.</w:t>
      </w:r>
    </w:p>
    <w:p>
      <w:pPr>
        <w:spacing w:after="160"/>
      </w:pPr>
      <w:r>
        <w:rPr>
          <w:b w:val="false"/>
          <w:bCs w:val="false"/>
          <w:i w:val="false"/>
          <w:iCs w:val="false"/>
        </w:rPr>
        <w:t xml:space="preserve">Les vidéos pédagogiques sont intégrées via le domaine youtube-nocookie.com (mode confidentialité renforcée de l'IFrame Player API), qui ne dépose aucun cookie de suivi tant que l'Élève n'a pas interagi avec le lecteur vidéo — un choix technique retenu spécifiquement pour limiter le suivi publicitaire d'un public mineur.</w:t>
      </w:r>
    </w:p>
    <w:p>
      <w:pPr>
        <w:pStyle w:val="Heading1"/>
        <w:spacing w:after="200" w:before="360"/>
      </w:pPr>
      <w:r>
        <w:rPr>
          <w:b/>
          <w:bCs/>
          <w:sz w:val="26"/>
          <w:szCs w:val="26"/>
        </w:rPr>
        <w:t xml:space="preserve">ARTICLE 12 — VOS DROITS ET LEUR EXERCICE</w:t>
      </w:r>
    </w:p>
    <w:p>
      <w:pPr>
        <w:spacing w:after="160"/>
      </w:pPr>
      <w:r>
        <w:rPr>
          <w:b w:val="false"/>
          <w:bCs w:val="false"/>
          <w:i w:val="false"/>
          <w:iCs w:val="false"/>
        </w:rPr>
        <w:t xml:space="preserve">Conformément à la Loi, le Parent (au nom de l'Élève mineur qu'il représente) et, selon son âge et sa maturité, l'Élève lui-même, disposent des droits suivants :</w:t>
      </w:r>
    </w:p>
    <w:p>
      <w:pPr>
        <w:pStyle w:val="ListParagraph"/>
        <w:numPr>
          <w:ilvl w:val="0"/>
          <w:numId w:val="1"/>
        </w:numPr>
        <w:spacing w:after="80"/>
      </w:pPr>
      <w:r>
        <w:rPr>
          <w:b w:val="false"/>
          <w:bCs w:val="false"/>
          <w:i w:val="false"/>
          <w:iCs w:val="false"/>
        </w:rPr>
        <w:t xml:space="preserve">droit d'accès : obtenir la confirmation qu'une donnée est traitée et en obtenir une copie ;</w:t>
      </w:r>
    </w:p>
    <w:p>
      <w:pPr>
        <w:spacing w:after="80"/>
      </w:pPr>
    </w:p>
    <w:p>
      <w:pPr>
        <w:pStyle w:val="ListParagraph"/>
        <w:numPr>
          <w:ilvl w:val="0"/>
          <w:numId w:val="1"/>
        </w:numPr>
        <w:spacing w:after="80"/>
      </w:pPr>
      <w:r>
        <w:rPr>
          <w:b w:val="false"/>
          <w:bCs w:val="false"/>
          <w:i w:val="false"/>
          <w:iCs w:val="false"/>
        </w:rPr>
        <w:t xml:space="preserve">droit de rectification : corriger une donnée inexacte ou incomplète ;</w:t>
      </w:r>
    </w:p>
    <w:p>
      <w:pPr>
        <w:spacing w:after="80"/>
      </w:pPr>
    </w:p>
    <w:p>
      <w:pPr>
        <w:pStyle w:val="ListParagraph"/>
        <w:numPr>
          <w:ilvl w:val="0"/>
          <w:numId w:val="1"/>
        </w:numPr>
        <w:spacing w:after="80"/>
      </w:pPr>
      <w:r>
        <w:rPr>
          <w:b w:val="false"/>
          <w:bCs w:val="false"/>
          <w:i w:val="false"/>
          <w:iCs w:val="false"/>
        </w:rPr>
        <w:t xml:space="preserve">droit à l'effacement : demander la suppression des données, notamment en cas de retrait du consentement ;</w:t>
      </w:r>
    </w:p>
    <w:p>
      <w:pPr>
        <w:spacing w:after="80"/>
      </w:pPr>
    </w:p>
    <w:p>
      <w:pPr>
        <w:pStyle w:val="ListParagraph"/>
        <w:numPr>
          <w:ilvl w:val="0"/>
          <w:numId w:val="1"/>
        </w:numPr>
        <w:spacing w:after="80"/>
      </w:pPr>
      <w:r>
        <w:rPr>
          <w:b w:val="false"/>
          <w:bCs w:val="false"/>
          <w:i w:val="false"/>
          <w:iCs w:val="false"/>
        </w:rPr>
        <w:t xml:space="preserve">droit d'opposition : s'opposer, pour motif légitime, à un traitement fondé sur l'intérêt légitime de Klarity ;</w:t>
      </w:r>
    </w:p>
    <w:p>
      <w:pPr>
        <w:spacing w:after="80"/>
      </w:pPr>
    </w:p>
    <w:p>
      <w:pPr>
        <w:pStyle w:val="ListParagraph"/>
        <w:numPr>
          <w:ilvl w:val="0"/>
          <w:numId w:val="1"/>
        </w:numPr>
        <w:spacing w:after="80"/>
      </w:pPr>
      <w:r>
        <w:rPr>
          <w:b w:val="false"/>
          <w:bCs w:val="false"/>
          <w:i w:val="false"/>
          <w:iCs w:val="false"/>
        </w:rPr>
        <w:t xml:space="preserve">droit à la portabilité : recevoir les données fournies dans un format structuré et couramment utilisé ;</w:t>
      </w:r>
    </w:p>
    <w:p>
      <w:pPr>
        <w:spacing w:after="80"/>
      </w:pPr>
    </w:p>
    <w:p>
      <w:pPr>
        <w:pStyle w:val="ListParagraph"/>
        <w:numPr>
          <w:ilvl w:val="0"/>
          <w:numId w:val="1"/>
        </w:numPr>
        <w:spacing w:after="80"/>
      </w:pPr>
      <w:r>
        <w:rPr>
          <w:b w:val="false"/>
          <w:bCs w:val="false"/>
          <w:i w:val="false"/>
          <w:iCs w:val="false"/>
        </w:rPr>
        <w:t xml:space="preserve">droit de retirer son consentement à tout moment, sans effet rétroactif sur la licéité des traitements déjà réalisés, et entraînant la clôture du Compte Élève concerné ;</w:t>
      </w:r>
    </w:p>
    <w:p>
      <w:pPr>
        <w:spacing w:after="80"/>
      </w:pPr>
    </w:p>
    <w:p>
      <w:pPr>
        <w:pStyle w:val="ListParagraph"/>
        <w:numPr>
          <w:ilvl w:val="0"/>
          <w:numId w:val="1"/>
        </w:numPr>
        <w:spacing w:after="80"/>
      </w:pPr>
      <w:r>
        <w:rPr>
          <w:b w:val="false"/>
          <w:bCs w:val="false"/>
          <w:i w:val="false"/>
          <w:iCs w:val="false"/>
        </w:rPr>
        <w:t xml:space="preserve">droit d'introduire une réclamation auprès de l'Autorité de Protection des Données à Caractère Personnel compétente.</w:t>
      </w:r>
    </w:p>
    <w:p>
      <w:pPr>
        <w:spacing w:after="80"/>
      </w:pPr>
    </w:p>
    <w:p>
      <w:pPr>
        <w:pStyle w:val="Heading2"/>
        <w:spacing w:after="160" w:before="240"/>
      </w:pPr>
      <w:r>
        <w:rPr>
          <w:b/>
          <w:bCs/>
          <w:sz w:val="23"/>
          <w:szCs w:val="23"/>
        </w:rPr>
        <w:t xml:space="preserve">Comment exercer ces droits</w:t>
      </w:r>
    </w:p>
    <w:p>
      <w:pPr>
        <w:spacing w:after="160"/>
      </w:pPr>
      <w:r>
        <w:rPr>
          <w:b w:val="false"/>
          <w:bCs w:val="false"/>
          <w:i w:val="false"/>
          <w:iCs w:val="false"/>
        </w:rPr>
        <w:t xml:space="preserve">Toute demande doit être adressée au Délégué à la Protection des Données de Klarity, dont les coordonnées sont communiquées aux Utilisateurs sur la Plateforme, en précisant l'identité du demandeur et, pour une demande formulée par un Parent, le Code Élève concerné afin de permettre la vérification de sa qualité de représentant légal. Klarity s'engage à répondre dans un délai raisonnable et, en tout état de cause, dans les meilleurs délais compatibles avec la nécessité de vérifier l'identité du demandeur.</w:t>
      </w:r>
    </w:p>
    <w:p>
      <w:pPr>
        <w:pStyle w:val="Heading1"/>
        <w:spacing w:after="200" w:before="360"/>
      </w:pPr>
      <w:r>
        <w:rPr>
          <w:b/>
          <w:bCs/>
          <w:sz w:val="26"/>
          <w:szCs w:val="26"/>
        </w:rPr>
        <w:t xml:space="preserve">ARTICLE 13 — DÉCISIONS AUTOMATISÉES ET PROFILAGE PÉDAGOGIQUE</w:t>
      </w:r>
    </w:p>
    <w:p>
      <w:pPr>
        <w:spacing w:after="160"/>
      </w:pPr>
      <w:r>
        <w:rPr>
          <w:b w:val="false"/>
          <w:bCs w:val="false"/>
          <w:i w:val="false"/>
          <w:iCs w:val="false"/>
        </w:rPr>
        <w:t xml:space="preserve">Klarity utilise un traitement automatisé pour détecter les lacunes récurrentes d'un Élève à partir de l'historique de ses corrections, et pour générer un quiz journalier ciblé sur ces lacunes. Ce traitement constitue une forme de profilage pédagogique, dont l'Élève et son Parent doivent être informés.</w:t>
      </w:r>
    </w:p>
    <w:p>
      <w:pPr>
        <w:pStyle w:val="ListParagraph"/>
        <w:numPr>
          <w:ilvl w:val="0"/>
          <w:numId w:val="1"/>
        </w:numPr>
        <w:spacing w:after="80"/>
      </w:pPr>
      <w:r>
        <w:rPr>
          <w:b w:val="false"/>
          <w:bCs w:val="false"/>
          <w:i w:val="false"/>
          <w:iCs w:val="false"/>
        </w:rPr>
        <w:t xml:space="preserve">ce profilage a pour unique finalité l'adaptation du contenu pédagogique proposé (quiz, vidéos de renforcement) et n'a aucun effet juridique ou similaire à l'encontre de l'Élève ;</w:t>
      </w:r>
    </w:p>
    <w:p>
      <w:pPr>
        <w:spacing w:after="80"/>
      </w:pPr>
    </w:p>
    <w:p>
      <w:pPr>
        <w:pStyle w:val="ListParagraph"/>
        <w:numPr>
          <w:ilvl w:val="0"/>
          <w:numId w:val="1"/>
        </w:numPr>
        <w:spacing w:after="80"/>
      </w:pPr>
      <w:r>
        <w:rPr>
          <w:b w:val="false"/>
          <w:bCs w:val="false"/>
          <w:i w:val="false"/>
          <w:iCs w:val="false"/>
        </w:rPr>
        <w:t xml:space="preserve">il ne fonde aucune décision d'orientation scolaire officielle ni aucune note transmise à un établissement ;</w:t>
      </w:r>
    </w:p>
    <w:p>
      <w:pPr>
        <w:spacing w:after="80"/>
      </w:pPr>
    </w:p>
    <w:p>
      <w:pPr>
        <w:pStyle w:val="ListParagraph"/>
        <w:numPr>
          <w:ilvl w:val="0"/>
          <w:numId w:val="1"/>
        </w:numPr>
        <w:spacing w:after="80"/>
      </w:pPr>
      <w:r>
        <w:rPr>
          <w:b w:val="false"/>
          <w:bCs w:val="false"/>
          <w:i w:val="false"/>
          <w:iCs w:val="false"/>
        </w:rPr>
        <w:t xml:space="preserve">les résultats de ce profilage (lacunes actives, lacunes résolues) sont visibles par le Parent depuis son tableau de bord, dans une logique de transparence ;</w:t>
      </w:r>
    </w:p>
    <w:p>
      <w:pPr>
        <w:spacing w:after="80"/>
      </w:pPr>
    </w:p>
    <w:p>
      <w:pPr>
        <w:pStyle w:val="ListParagraph"/>
        <w:numPr>
          <w:ilvl w:val="0"/>
          <w:numId w:val="1"/>
        </w:numPr>
        <w:spacing w:after="80"/>
      </w:pPr>
      <w:r>
        <w:rPr>
          <w:b w:val="false"/>
          <w:bCs w:val="false"/>
          <w:i w:val="false"/>
          <w:iCs w:val="false"/>
        </w:rPr>
        <w:t xml:space="preserve">le Parent peut demander la remise à zéro de ce profilage pédagogique dans le cadre de l'exercice de ses droits (Article 12).</w:t>
      </w:r>
    </w:p>
    <w:p>
      <w:pPr>
        <w:spacing w:after="80"/>
      </w:pPr>
    </w:p>
    <w:p>
      <w:pPr>
        <w:pStyle w:val="Heading1"/>
        <w:spacing w:after="200" w:before="360"/>
      </w:pPr>
      <w:r>
        <w:rPr>
          <w:b/>
          <w:bCs/>
          <w:sz w:val="26"/>
          <w:szCs w:val="26"/>
        </w:rPr>
        <w:t xml:space="preserve">ARTICLE 14 — VIOLATION DE DONNÉES</w:t>
      </w:r>
    </w:p>
    <w:p>
      <w:pPr>
        <w:spacing w:after="160"/>
      </w:pPr>
      <w:r>
        <w:rPr>
          <w:b w:val="false"/>
          <w:bCs w:val="false"/>
          <w:i w:val="false"/>
          <w:iCs w:val="false"/>
        </w:rPr>
        <w:t xml:space="preserve">En cas de violation de données à caractère personnel susceptible d'engendrer un risque pour les droits et libertés des personnes concernées, Klarity s'engage à notifier cette violation à l'Autorité de Protection des Données à Caractère Personnel sans délai, conformément à la Loi, et à informer les Utilisateurs concernés (via leur Parent pour un Élève mineur) lorsque cette violation est susceptible d'engendrer un risque élevé pour leurs droits.</w:t>
      </w:r>
    </w:p>
    <w:p>
      <w:pPr>
        <w:spacing w:after="160"/>
      </w:pPr>
      <w:r>
        <w:rPr>
          <w:b w:val="false"/>
          <w:bCs w:val="false"/>
          <w:i w:val="false"/>
          <w:iCs w:val="false"/>
        </w:rPr>
        <w:t xml:space="preserve">Klarity tient un registre interne des violations constatées, incluant leurs circonstances, leurs effets et les mesures prises pour y remédier, conformément à ses obligations de documentation.</w:t>
      </w:r>
    </w:p>
    <w:p>
      <w:pPr>
        <w:pStyle w:val="Heading1"/>
        <w:spacing w:after="200" w:before="360"/>
      </w:pPr>
      <w:r>
        <w:rPr>
          <w:b/>
          <w:bCs/>
          <w:sz w:val="26"/>
          <w:szCs w:val="26"/>
        </w:rPr>
        <w:t xml:space="preserve">ARTICLE 15 — MISE À JOUR DE LA POLITIQUE</w:t>
      </w:r>
    </w:p>
    <w:p>
      <w:pPr>
        <w:spacing w:after="160"/>
      </w:pPr>
      <w:r>
        <w:rPr>
          <w:b w:val="false"/>
          <w:bCs w:val="false"/>
          <w:i w:val="false"/>
          <w:iCs w:val="false"/>
        </w:rPr>
        <w:t xml:space="preserve">La présente Politique peut être mise à jour pour tenir compte d'une évolution fonctionnelle de la Plateforme, d'un changement de sous-traitant, ou d'une évolution légale ou réglementaire. Toute modification substantielle (nouvelle catégorie de données, nouvelle finalité, nouveau destinataire) fait l'objet d'une information préalable des Utilisateurs, avec un délai raisonnable avant son entrée en vigueur. La date de dernière mise à jour figure en première page du présent document.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2026-09-13T16:02:22.599Z</dcterms:created>
  <dcterms:modified xsi:type="dcterms:W3CDTF">2026-09-13T16:02:22.599Z</dcterms:modified>
</cp:coreProperties>
</file>

<file path=docProps/custom.xml><?xml version="1.0" encoding="utf-8"?>
<Properties xmlns="http://schemas.openxmlformats.org/officeDocument/2006/custom-properties" xmlns:vt="http://schemas.openxmlformats.org/officeDocument/2006/docPropsVTypes"/>
</file>