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FA88" w14:textId="77777777" w:rsidR="00924908" w:rsidRPr="00924908" w:rsidRDefault="00924908" w:rsidP="00924908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333333"/>
          <w:kern w:val="0"/>
          <w:sz w:val="45"/>
          <w:szCs w:val="45"/>
        </w:rPr>
      </w:pPr>
      <w:r w:rsidRPr="00924908">
        <w:rPr>
          <w:rFonts w:ascii="inherit" w:eastAsia="굴림" w:hAnsi="inherit" w:cs="Helvetica"/>
          <w:color w:val="333333"/>
          <w:kern w:val="0"/>
          <w:sz w:val="45"/>
          <w:szCs w:val="45"/>
        </w:rPr>
        <w:t xml:space="preserve">Question 1 </w:t>
      </w:r>
    </w:p>
    <w:p w14:paraId="0CF2E802" w14:textId="77777777" w:rsidR="00924908" w:rsidRPr="00924908" w:rsidRDefault="00924908" w:rsidP="009249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The file </w:t>
      </w:r>
      <w:r w:rsidR="002534A8">
        <w:rPr>
          <w:rFonts w:ascii="Courier New" w:eastAsia="굴림체" w:hAnsi="Courier New" w:cs="굴림체"/>
          <w:color w:val="333333"/>
          <w:kern w:val="0"/>
          <w:sz w:val="19"/>
          <w:szCs w:val="19"/>
        </w:rPr>
        <w:t>project1</w:t>
      </w:r>
      <w:r w:rsidRPr="00924908">
        <w:rPr>
          <w:rFonts w:ascii="Courier New" w:eastAsia="굴림체" w:hAnsi="Courier New" w:cs="굴림체"/>
          <w:color w:val="333333"/>
          <w:kern w:val="0"/>
          <w:sz w:val="19"/>
          <w:szCs w:val="19"/>
        </w:rPr>
        <w:t>.csv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contains a small dataset of 40 observations, each with nine continuous variables </w:t>
      </w:r>
      <w:r w:rsidRPr="00924908">
        <w:rPr>
          <w:rFonts w:ascii="MathJax_Math-italic" w:eastAsia="굴림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924908">
        <w:rPr>
          <w:rFonts w:ascii="MathJax_Main" w:eastAsia="굴림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,…,</w:t>
      </w:r>
      <w:r w:rsidRPr="00924908">
        <w:rPr>
          <w:rFonts w:ascii="MathJax_Math-italic" w:eastAsia="굴림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9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  <w:bdr w:val="none" w:sz="0" w:space="0" w:color="auto" w:frame="1"/>
        </w:rPr>
        <w:t>X1,…,X9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and one binary categorical variable </w:t>
      </w:r>
      <w:proofErr w:type="spellStart"/>
      <w:r w:rsidRPr="00924908">
        <w:rPr>
          <w:rFonts w:ascii="MathJax_Math-italic" w:eastAsia="굴림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Class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  <w:bdr w:val="none" w:sz="0" w:space="0" w:color="auto" w:frame="1"/>
        </w:rPr>
        <w:t>Class</w:t>
      </w:r>
      <w:proofErr w:type="spellEnd"/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. Use the R function </w:t>
      </w:r>
      <w:proofErr w:type="spellStart"/>
      <w:r w:rsidRPr="00924908">
        <w:rPr>
          <w:rFonts w:ascii="Courier New" w:eastAsia="굴림체" w:hAnsi="Courier New" w:cs="Courier New"/>
          <w:color w:val="333333"/>
          <w:kern w:val="0"/>
          <w:sz w:val="19"/>
          <w:szCs w:val="19"/>
        </w:rPr>
        <w:t>prcomp</w:t>
      </w:r>
      <w:proofErr w:type="spellEnd"/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to perform PCA on </w:t>
      </w:r>
      <w:r w:rsidRPr="00924908">
        <w:rPr>
          <w:rFonts w:ascii="MathJax_Math-italic" w:eastAsia="굴림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924908">
        <w:rPr>
          <w:rFonts w:ascii="MathJax_Main" w:eastAsia="굴림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,…,</w:t>
      </w:r>
      <w:r w:rsidRPr="00924908">
        <w:rPr>
          <w:rFonts w:ascii="MathJax_Math-italic" w:eastAsia="굴림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9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  <w:bdr w:val="none" w:sz="0" w:space="0" w:color="auto" w:frame="1"/>
        </w:rPr>
        <w:t>X1,…,X9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, and answer the following questions:</w:t>
      </w:r>
    </w:p>
    <w:p w14:paraId="5DBB5BD5" w14:textId="77777777" w:rsidR="00924908" w:rsidRPr="00924908" w:rsidRDefault="00924908" w:rsidP="0092490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You can either use the original variables or use the </w:t>
      </w:r>
      <w:proofErr w:type="spellStart"/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standardised</w:t>
      </w:r>
      <w:proofErr w:type="spellEnd"/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variables to perform PCA. For this dataset, which way you will choose? Numerically justify your choice.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</w:p>
    <w:p w14:paraId="77BEE2AD" w14:textId="77777777" w:rsidR="00924908" w:rsidRDefault="00924908" w:rsidP="0092490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How many principal components will you retain if you must reduce the dimension of this dataset? Numer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ically justify your choice. </w:t>
      </w:r>
    </w:p>
    <w:p w14:paraId="710B010E" w14:textId="77777777" w:rsidR="00924908" w:rsidRPr="00924908" w:rsidRDefault="00924908" w:rsidP="0092490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</w:p>
    <w:p w14:paraId="4E3459D1" w14:textId="77777777" w:rsidR="00924908" w:rsidRPr="00924908" w:rsidRDefault="00924908" w:rsidP="00924908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333333"/>
          <w:kern w:val="0"/>
          <w:sz w:val="45"/>
          <w:szCs w:val="45"/>
        </w:rPr>
      </w:pPr>
      <w:r w:rsidRPr="00924908">
        <w:rPr>
          <w:rFonts w:ascii="inherit" w:eastAsia="굴림" w:hAnsi="inherit" w:cs="Helvetica"/>
          <w:color w:val="333333"/>
          <w:kern w:val="0"/>
          <w:sz w:val="45"/>
          <w:szCs w:val="45"/>
        </w:rPr>
        <w:t xml:space="preserve">Question 2 </w:t>
      </w:r>
    </w:p>
    <w:p w14:paraId="496677C6" w14:textId="77777777" w:rsidR="00924908" w:rsidRPr="00924908" w:rsidRDefault="00924908" w:rsidP="0092490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Will the canonical correlations change under non-singular linear transformations </w:t>
      </w:r>
      <w:r w:rsidRPr="00924908">
        <w:rPr>
          <w:rFonts w:ascii="MathJax_Main-bold" w:eastAsia="굴림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AX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(1)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  <w:bdr w:val="none" w:sz="0" w:space="0" w:color="auto" w:frame="1"/>
        </w:rPr>
        <w:t>AX(1)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and </w:t>
      </w:r>
      <w:r w:rsidRPr="00924908">
        <w:rPr>
          <w:rFonts w:ascii="MathJax_Main-bold" w:eastAsia="굴림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BX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(2)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  <w:bdr w:val="none" w:sz="0" w:space="0" w:color="auto" w:frame="1"/>
        </w:rPr>
        <w:t>BX(2)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of two sets of variables </w:t>
      </w:r>
      <w:r w:rsidRPr="00924908">
        <w:rPr>
          <w:rFonts w:ascii="MathJax_Main-bold" w:eastAsia="굴림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(1)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  <w:bdr w:val="none" w:sz="0" w:space="0" w:color="auto" w:frame="1"/>
        </w:rPr>
        <w:t>X(1)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and </w:t>
      </w:r>
      <w:r w:rsidRPr="00924908">
        <w:rPr>
          <w:rFonts w:ascii="MathJax_Main-bold" w:eastAsia="굴림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(2)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  <w:bdr w:val="none" w:sz="0" w:space="0" w:color="auto" w:frame="1"/>
        </w:rPr>
        <w:t>X(2)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? Prove your answer. </w:t>
      </w:r>
    </w:p>
    <w:p w14:paraId="7B0DC064" w14:textId="77777777" w:rsidR="00924908" w:rsidRDefault="00924908" w:rsidP="0092490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Consider a set </w:t>
      </w:r>
      <w:r w:rsidRPr="00924908">
        <w:rPr>
          <w:rFonts w:ascii="MathJax_Main-bold" w:eastAsia="굴림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(1)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  <w:bdr w:val="none" w:sz="0" w:space="0" w:color="auto" w:frame="1"/>
        </w:rPr>
        <w:t>X(1)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including five variables </w:t>
      </w:r>
      <w:r w:rsidRPr="00924908">
        <w:rPr>
          <w:rFonts w:ascii="MathJax_Math-italic" w:eastAsia="굴림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924908">
        <w:rPr>
          <w:rFonts w:ascii="MathJax_Main" w:eastAsia="굴림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,…,</w:t>
      </w:r>
      <w:r w:rsidRPr="00924908">
        <w:rPr>
          <w:rFonts w:ascii="MathJax_Math-italic" w:eastAsia="굴림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5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  <w:bdr w:val="none" w:sz="0" w:space="0" w:color="auto" w:frame="1"/>
        </w:rPr>
        <w:t>X1,…,X5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from the dataset in the file </w:t>
      </w:r>
      <w:r w:rsidR="002534A8">
        <w:rPr>
          <w:rFonts w:ascii="Courier New" w:eastAsia="굴림체" w:hAnsi="Courier New" w:cs="Courier New"/>
          <w:color w:val="333333"/>
          <w:kern w:val="0"/>
          <w:sz w:val="19"/>
          <w:szCs w:val="19"/>
        </w:rPr>
        <w:t>project1</w:t>
      </w:r>
      <w:r w:rsidRPr="00924908">
        <w:rPr>
          <w:rFonts w:ascii="Courier New" w:eastAsia="굴림체" w:hAnsi="Courier New" w:cs="Courier New"/>
          <w:color w:val="333333"/>
          <w:kern w:val="0"/>
          <w:sz w:val="19"/>
          <w:szCs w:val="19"/>
        </w:rPr>
        <w:t>.csv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and another set </w:t>
      </w:r>
      <w:r w:rsidRPr="00924908">
        <w:rPr>
          <w:rFonts w:ascii="MathJax_Main-bold" w:eastAsia="굴림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(2)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  <w:bdr w:val="none" w:sz="0" w:space="0" w:color="auto" w:frame="1"/>
        </w:rPr>
        <w:t>X(2)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including four other variables </w:t>
      </w:r>
      <w:r w:rsidRPr="00924908">
        <w:rPr>
          <w:rFonts w:ascii="MathJax_Math-italic" w:eastAsia="굴림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6</w:t>
      </w:r>
      <w:r w:rsidRPr="00924908">
        <w:rPr>
          <w:rFonts w:ascii="MathJax_Main" w:eastAsia="굴림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,…,</w:t>
      </w:r>
      <w:r w:rsidRPr="00924908">
        <w:rPr>
          <w:rFonts w:ascii="MathJax_Math-italic" w:eastAsia="굴림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9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  <w:bdr w:val="none" w:sz="0" w:space="0" w:color="auto" w:frame="1"/>
        </w:rPr>
        <w:t>X6,…,X9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. Use the R function </w:t>
      </w:r>
      <w:r w:rsidRPr="00924908">
        <w:rPr>
          <w:rFonts w:ascii="Courier New" w:eastAsia="굴림체" w:hAnsi="Courier New" w:cs="Courier New"/>
          <w:color w:val="333333"/>
          <w:kern w:val="0"/>
          <w:sz w:val="19"/>
          <w:szCs w:val="19"/>
        </w:rPr>
        <w:t>cc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from the R package </w:t>
      </w:r>
      <w:r w:rsidRPr="00924908">
        <w:rPr>
          <w:rFonts w:ascii="Courier New" w:eastAsia="굴림체" w:hAnsi="Courier New" w:cs="Courier New"/>
          <w:color w:val="333333"/>
          <w:kern w:val="0"/>
          <w:sz w:val="19"/>
          <w:szCs w:val="19"/>
        </w:rPr>
        <w:t>CCA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to perform CCA on </w:t>
      </w:r>
      <w:r w:rsidRPr="00924908">
        <w:rPr>
          <w:rFonts w:ascii="MathJax_Main-bold" w:eastAsia="굴림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(1)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  <w:bdr w:val="none" w:sz="0" w:space="0" w:color="auto" w:frame="1"/>
        </w:rPr>
        <w:t>X(1)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and </w:t>
      </w:r>
      <w:r w:rsidRPr="00924908">
        <w:rPr>
          <w:rFonts w:ascii="MathJax_Main-bold" w:eastAsia="굴림" w:hAnsi="MathJax_Main-bold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(2)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  <w:bdr w:val="none" w:sz="0" w:space="0" w:color="auto" w:frame="1"/>
        </w:rPr>
        <w:t>X(2)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You can either use the original variables or use the </w:t>
      </w:r>
      <w:proofErr w:type="spellStart"/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standardised</w:t>
      </w:r>
      <w:proofErr w:type="spellEnd"/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variables to perform CCA. For this dataset, which way you will use? Nume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rically justify your choice. </w:t>
      </w:r>
    </w:p>
    <w:p w14:paraId="599AB7E2" w14:textId="77777777" w:rsidR="00924908" w:rsidRPr="00924908" w:rsidRDefault="00924908" w:rsidP="009249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</w:p>
    <w:p w14:paraId="1F8D472C" w14:textId="77777777" w:rsidR="00924908" w:rsidRPr="00924908" w:rsidRDefault="00924908" w:rsidP="00924908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333333"/>
          <w:kern w:val="0"/>
          <w:sz w:val="45"/>
          <w:szCs w:val="45"/>
        </w:rPr>
      </w:pPr>
      <w:r w:rsidRPr="00924908">
        <w:rPr>
          <w:rFonts w:ascii="inherit" w:eastAsia="굴림" w:hAnsi="inherit" w:cs="Helvetica"/>
          <w:color w:val="333333"/>
          <w:kern w:val="0"/>
          <w:sz w:val="45"/>
          <w:szCs w:val="45"/>
        </w:rPr>
        <w:t xml:space="preserve">Question 3 </w:t>
      </w:r>
    </w:p>
    <w:p w14:paraId="09F0364F" w14:textId="77777777" w:rsidR="00924908" w:rsidRPr="00924908" w:rsidRDefault="00924908" w:rsidP="009249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Split the 40 observations in the file </w:t>
      </w:r>
      <w:r w:rsidR="002534A8">
        <w:rPr>
          <w:rFonts w:ascii="Courier New" w:eastAsia="굴림체" w:hAnsi="Courier New" w:cs="Courier New"/>
          <w:color w:val="333333"/>
          <w:kern w:val="0"/>
          <w:sz w:val="19"/>
          <w:szCs w:val="19"/>
        </w:rPr>
        <w:t>project1</w:t>
      </w:r>
      <w:r w:rsidRPr="00924908">
        <w:rPr>
          <w:rFonts w:ascii="Courier New" w:eastAsia="굴림체" w:hAnsi="Courier New" w:cs="Courier New"/>
          <w:color w:val="333333"/>
          <w:kern w:val="0"/>
          <w:sz w:val="19"/>
          <w:szCs w:val="19"/>
        </w:rPr>
        <w:t>.csv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into a training set, which contains the </w:t>
      </w:r>
      <w:r w:rsidRPr="0092490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>first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20 observations, and a test set, which contains the </w:t>
      </w:r>
      <w:r w:rsidRPr="0092490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>remaining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20 observations. Consider the continuous variables </w:t>
      </w:r>
      <w:r w:rsidRPr="00924908">
        <w:rPr>
          <w:rFonts w:ascii="MathJax_Math-italic" w:eastAsia="굴림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924908">
        <w:rPr>
          <w:rFonts w:ascii="MathJax_Main" w:eastAsia="굴림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,…,</w:t>
      </w:r>
      <w:r w:rsidRPr="00924908">
        <w:rPr>
          <w:rFonts w:ascii="MathJax_Math-italic" w:eastAsia="굴림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924908">
        <w:rPr>
          <w:rFonts w:ascii="MathJax_Main" w:eastAsia="굴림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9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  <w:bdr w:val="none" w:sz="0" w:space="0" w:color="auto" w:frame="1"/>
        </w:rPr>
        <w:t>X1,…,X9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as the features and consider the binary categorical variable </w:t>
      </w:r>
      <w:proofErr w:type="spellStart"/>
      <w:r w:rsidRPr="00924908">
        <w:rPr>
          <w:rFonts w:ascii="MathJax_Math-italic" w:eastAsia="굴림" w:hAnsi="MathJax_Math-italic" w:cs="Helvetica"/>
          <w:color w:val="333333"/>
          <w:kern w:val="0"/>
          <w:sz w:val="25"/>
          <w:szCs w:val="25"/>
          <w:bdr w:val="none" w:sz="0" w:space="0" w:color="auto" w:frame="1"/>
        </w:rPr>
        <w:t>Class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  <w:bdr w:val="none" w:sz="0" w:space="0" w:color="auto" w:frame="1"/>
        </w:rPr>
        <w:t>Class</w:t>
      </w:r>
      <w:proofErr w:type="spellEnd"/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as the class label. Use the R function </w:t>
      </w:r>
      <w:proofErr w:type="spellStart"/>
      <w:r w:rsidRPr="00924908">
        <w:rPr>
          <w:rFonts w:ascii="Courier New" w:eastAsia="굴림체" w:hAnsi="Courier New" w:cs="Courier New"/>
          <w:color w:val="333333"/>
          <w:kern w:val="0"/>
          <w:sz w:val="19"/>
          <w:szCs w:val="19"/>
        </w:rPr>
        <w:t>lda</w:t>
      </w:r>
      <w:proofErr w:type="spellEnd"/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from the R package </w:t>
      </w:r>
      <w:r w:rsidRPr="00924908">
        <w:rPr>
          <w:rFonts w:ascii="Courier New" w:eastAsia="굴림체" w:hAnsi="Courier New" w:cs="Courier New"/>
          <w:color w:val="333333"/>
          <w:kern w:val="0"/>
          <w:sz w:val="19"/>
          <w:szCs w:val="19"/>
        </w:rPr>
        <w:t>MASS</w:t>
      </w: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to perform LDA, and </w:t>
      </w:r>
      <w:proofErr w:type="spellStart"/>
      <w:r w:rsidRPr="00924908">
        <w:rPr>
          <w:rFonts w:ascii="Courier New" w:eastAsia="굴림체" w:hAnsi="Courier New" w:cs="Courier New"/>
          <w:color w:val="333333"/>
          <w:kern w:val="0"/>
          <w:sz w:val="19"/>
          <w:szCs w:val="19"/>
        </w:rPr>
        <w:t>qda</w:t>
      </w:r>
      <w:proofErr w:type="spellEnd"/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 for QDA.</w:t>
      </w:r>
    </w:p>
    <w:p w14:paraId="5F602793" w14:textId="77777777" w:rsidR="00924908" w:rsidRPr="00924908" w:rsidRDefault="00924908" w:rsidP="0092490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Between LDA and QDA, which one performs better on this test set in terms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of classification accuracy? </w:t>
      </w:r>
    </w:p>
    <w:p w14:paraId="06DB190F" w14:textId="77777777" w:rsidR="00924908" w:rsidRPr="00924908" w:rsidRDefault="00924908" w:rsidP="0092490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>Explain why LDA performs better/worse than QDA in t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his case. </w:t>
      </w:r>
    </w:p>
    <w:p w14:paraId="1E5D0215" w14:textId="77777777" w:rsidR="00924908" w:rsidRDefault="00924908" w:rsidP="0092490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2490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Propose a simple extension of LDA (or QDA) to further improve the classification accuracy on this test set. Numerically show the improvement in classification accuracy obtained 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by your proposed extension. </w:t>
      </w:r>
    </w:p>
    <w:p w14:paraId="3F461B7D" w14:textId="77777777" w:rsidR="00924908" w:rsidRDefault="00924908"/>
    <w:sectPr w:rsidR="00924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in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C5442"/>
    <w:multiLevelType w:val="multilevel"/>
    <w:tmpl w:val="58CC1F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D2222"/>
    <w:multiLevelType w:val="multilevel"/>
    <w:tmpl w:val="4EEAE0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325AA7"/>
    <w:multiLevelType w:val="multilevel"/>
    <w:tmpl w:val="04C44E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08"/>
    <w:rsid w:val="002534A8"/>
    <w:rsid w:val="00924908"/>
    <w:rsid w:val="00930482"/>
    <w:rsid w:val="00F6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5E9B"/>
  <w15:chartTrackingRefBased/>
  <w15:docId w15:val="{F38C85B6-691B-4C27-8B9D-2999D10D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2490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24908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249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4908"/>
    <w:rPr>
      <w:rFonts w:ascii="굴림체" w:eastAsia="굴림체" w:hAnsi="굴림체" w:cs="굴림체"/>
      <w:sz w:val="24"/>
      <w:szCs w:val="24"/>
    </w:rPr>
  </w:style>
  <w:style w:type="character" w:customStyle="1" w:styleId="mi">
    <w:name w:val="mi"/>
    <w:basedOn w:val="a0"/>
    <w:rsid w:val="00924908"/>
  </w:style>
  <w:style w:type="character" w:customStyle="1" w:styleId="mn">
    <w:name w:val="mn"/>
    <w:basedOn w:val="a0"/>
    <w:rsid w:val="00924908"/>
  </w:style>
  <w:style w:type="character" w:customStyle="1" w:styleId="mo">
    <w:name w:val="mo"/>
    <w:basedOn w:val="a0"/>
    <w:rsid w:val="00924908"/>
  </w:style>
  <w:style w:type="character" w:customStyle="1" w:styleId="mjxassistivemathml">
    <w:name w:val="mjx_assistive_mathml"/>
    <w:basedOn w:val="a0"/>
    <w:rsid w:val="00924908"/>
  </w:style>
  <w:style w:type="character" w:styleId="a4">
    <w:name w:val="Strong"/>
    <w:basedOn w:val="a0"/>
    <w:uiPriority w:val="22"/>
    <w:qFormat/>
    <w:rsid w:val="00924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2021-08-13T14:51:00Z</dcterms:created>
  <dcterms:modified xsi:type="dcterms:W3CDTF">2021-08-15T09:08:00Z</dcterms:modified>
</cp:coreProperties>
</file>