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5DF59" w14:textId="77777777" w:rsidR="00F6140B" w:rsidRPr="00F6140B" w:rsidRDefault="00F6140B" w:rsidP="00F61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140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М. 2.2 Производственная практика (практика по получению профессиональных умений и опыта профессиональной деятельности, научно-исследовательская) 3 семестр</w:t>
      </w:r>
    </w:p>
    <w:p w14:paraId="18A70E85" w14:textId="1B825E82" w:rsidR="00F6140B" w:rsidRPr="00F6140B" w:rsidRDefault="00F6140B" w:rsidP="00F61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40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2.1. ВСР</w:t>
      </w:r>
      <w:r w:rsidRPr="00F6140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Фатьянов М.А.</w:t>
      </w:r>
    </w:p>
    <w:p w14:paraId="62B8CD39" w14:textId="4FF582C8" w:rsidR="00F6140B" w:rsidRDefault="00F6140B" w:rsidP="00F6140B">
      <w:pPr>
        <w:pStyle w:val="a3"/>
      </w:pPr>
      <w:r>
        <w:t>Документ «Прогноз долгосрочного социально-экономического развития Российской Федерации на период до 2030 года» разработан Министерством экономического развития РФ и утверждён Правительством как базовый стратегический документ, задающий ориентиры и сценарные траектории развития страны в долгосрочной перспективе. Прогноз предназначен для формирования единой платформы долгосрочного и среднесрочного планирования (стратегий, целевых программ, государственных программ) и опирается на предшествующие концептуальные документы (Концепция до 2020 г., демографическая концепция до 2025 г., послания Президента и указы 2012 г.). В официальной версии (расширенная версия прогноза) прямо указано, что документ содержит сценарные варианты и приложенные рабочие материалы, отражающие внутренние и внешние условия развития, демографические гипотезы, предположения по топливно-энергетическому комплексу и другие исходные условия.</w:t>
      </w:r>
    </w:p>
    <w:p w14:paraId="66A5F6DF" w14:textId="1886C226" w:rsidR="00F6140B" w:rsidRDefault="00F6140B" w:rsidP="00F6140B">
      <w:pPr>
        <w:pStyle w:val="a3"/>
      </w:pPr>
      <w:r>
        <w:t>В</w:t>
      </w:r>
      <w:r>
        <w:t xml:space="preserve"> тексте выделяются консервативный (инерционный/базовый), средний (средний демографический) и инновационный/форсированный варианты развития, а также набор чувствительных допущений по внешним условиям (цены на нефть, темпы мирового роста, торговые потоки) и внутренним факторам (инвестиции, технологическое обновление, демография, миграция). Набор показателей прогнозируется в разрезе </w:t>
      </w:r>
      <w:proofErr w:type="gramStart"/>
      <w:r>
        <w:t>макро-величин</w:t>
      </w:r>
      <w:proofErr w:type="gramEnd"/>
      <w:r>
        <w:t xml:space="preserve"> (ВВП, инвестиции, производительность), социальных индикаторов (доходы, здравоохранение, образование), секторальных показателей (ТЭК, промышленность, сельское хозяйство) и бюджетных/ценовых траекторий. При этом документ сознательно выстраивает несколько сценарных линий, по которым среднегодовые темпы роста ВВП и уровень инвестиций существенно различаются — от умеренных (порядка нескольких процентов в год) до заметно более высоких в инновационном варианте. Разные публикации и последующие уточнения показывают диапазон оценок (включая варианты с ~2,5% в год в более осторожной трактовке и варианты 4–5% в год при более оптимистичных допущениях). </w:t>
      </w:r>
    </w:p>
    <w:p w14:paraId="07FCA9D3" w14:textId="7EF9BFF0" w:rsidR="00F6140B" w:rsidRDefault="00F6140B" w:rsidP="00F6140B">
      <w:pPr>
        <w:pStyle w:val="a3"/>
      </w:pPr>
      <w:r>
        <w:t>Демографическая подсистема занимает центральное место и задаёт долгосрочные ограничения для рынка труда и социальных обязательств. В прогнозе заложено несколько демографических гипотез: средний сценарий рассчитывается на основе данных Росстата и переписи 2010 г., по которому суммарный коэффициент рождаемости к 2030 г. оценивается примерно в 1,7 (против 1,6 в 2011 г.); в среднем по сценарию постоянное население к 2030 г. снижается до порядка ~141,8 млн человек, тогда как в высоком (форсированном) варианте при активной миграционной и демографической политике численность могла бы вырасти до ~151,4 млн человек. Также прогноз подчёркивает существенное старение населения и сокращение численности трудоспособных граждан (в прогнозном ряду численность трудоспособного населения сокращается примерно с уровня конца 2000-х к 2030 г. почти на десятки миллионов), что усиливает роль миграции и необходимости структурных реформ в пенсионной, социальной и трудовой сферах. Эти демографические допущения прямо влияют на оценки ВВП на душу населения, динамику доходов и нагрузку на бюджет.</w:t>
      </w:r>
      <w:r>
        <w:t xml:space="preserve"> </w:t>
      </w:r>
    </w:p>
    <w:p w14:paraId="030BAAD8" w14:textId="04D2E38E" w:rsidR="00F6140B" w:rsidRDefault="00F6140B" w:rsidP="00F6140B">
      <w:pPr>
        <w:pStyle w:val="a3"/>
      </w:pPr>
      <w:r>
        <w:lastRenderedPageBreak/>
        <w:t xml:space="preserve">Макроэкономические проекции и структурные эффекты. инвестиционная активность и модернизация основного капитала, рост производительности труда (включая технологическое обновление и инвестиции в НИОКР), гибкость рынков труда и улучшение делового климата, а также повышение человеческого капитала (образование, здравоохранение). В числовых сценариях разница велика: при инновационном сценарии прогнозируемые среднегодовые темпы роста ВВП заметно превышают мировые (в некоторых оценках 4–5% годовых и выше), при консервативном — рост оказывается близок к 2–3% (а в ряде пересмотренных оценок — порядка 2,5% в среднем до 2030 г.). Документ также фиксирует взаимосвязь с ценой на энергоносители: в низком ценовом сценарии ресурсный канал ограничивает экспортные доходы и инвестиции, что переводит экономику в более слабые траектории роста. </w:t>
      </w:r>
    </w:p>
    <w:p w14:paraId="71A5D3DE" w14:textId="47F84BD7" w:rsidR="00F6140B" w:rsidRDefault="00F6140B" w:rsidP="00F6140B">
      <w:pPr>
        <w:pStyle w:val="a3"/>
      </w:pPr>
      <w:r>
        <w:t>В</w:t>
      </w:r>
      <w:r>
        <w:t>ыделя</w:t>
      </w:r>
      <w:r>
        <w:t>ются</w:t>
      </w:r>
      <w:r>
        <w:t xml:space="preserve"> конкретные целевые показатели и мероприятия по ключевым отраслям —</w:t>
      </w:r>
      <w:r>
        <w:t xml:space="preserve"> </w:t>
      </w:r>
      <w:r>
        <w:t xml:space="preserve">по здравоохранению установлены ориентиры снижения смертности от сердечно-сосудистых заболеваний и онкологии, сокращения младенческой смертности, доведение доли отечественных лекарственных средств до определённых уровней и повышение оплаты труда медперсонала; одновременно даётся оценка ресурсной необходимости — доли расходов на здравоохранение в ВВП и их динамики по сценариям. Для инфраструктуры и энергетики заданы прогнозы производства, экспорта и цен, а для бюджетной политики — необходимость балансирования фискального стимулирования и долговой устойчивости. Отдельно прогноз подчёркивает смысл государственной поддержки инноваций и мер по повышению эффективности человеческого капитала как ключевой предпосылки для перехода к высокому сценарию. </w:t>
      </w:r>
    </w:p>
    <w:p w14:paraId="01BDDCB9" w14:textId="7DB8886F" w:rsidR="00F6140B" w:rsidRDefault="00F6140B" w:rsidP="00F6140B">
      <w:pPr>
        <w:pStyle w:val="a3"/>
      </w:pPr>
      <w:r>
        <w:t>Ограничения, риски и критическая оценка декларирует основные риски: волатильность мировых цен на нефть и газ, замедление мировой экономики, неэффективность институциональных реформ, демографические ограничения и низкая мобильность рабочей силы. В документе чувствительность итогов к исходным допущениям очевидна — малейшие изменения в темпах инвестиций или ценах ресурсного экспорта давят на итоговый рост. Критически важно отметить, что прогноз 2013 г. был предметом дальнейших пересмотров и корректировок ведомствами и экспертами (включая понижение базовых оценок роста в последующих интерпретациях), что показывает, что сценарная рамка — полезный инструмент планирования, но не «жёсткая» цифра для прогнозирования без учёта политических и внешнеэкономических шоков. С методологической точки зрения сильной стороной является полнота охвата (демография, секторные приложения, внешние условия), слабостью — зависимость многих выводов от априорных допущений по инвестициям, технологическому прорыву и структурным реформам, которые требуют политической воли и времени для реализации.</w:t>
      </w:r>
    </w:p>
    <w:p w14:paraId="2DD804FF" w14:textId="5BF79676" w:rsidR="00C77AE4" w:rsidRDefault="00C77AE4" w:rsidP="00F6140B">
      <w:pPr>
        <w:pStyle w:val="a3"/>
      </w:pPr>
    </w:p>
    <w:sectPr w:rsidR="00C77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0B"/>
    <w:rsid w:val="00C77AE4"/>
    <w:rsid w:val="00F6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E6A0"/>
  <w15:chartTrackingRefBased/>
  <w15:docId w15:val="{3E271DF1-E296-4247-B090-3BE52DDE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61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61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F6140B"/>
  </w:style>
  <w:style w:type="character" w:customStyle="1" w:styleId="max-w-15ch">
    <w:name w:val="max-w-[15ch]"/>
    <w:basedOn w:val="a0"/>
    <w:rsid w:val="00F6140B"/>
  </w:style>
  <w:style w:type="character" w:customStyle="1" w:styleId="-me-1">
    <w:name w:val="-me-1"/>
    <w:basedOn w:val="a0"/>
    <w:rsid w:val="00F6140B"/>
  </w:style>
  <w:style w:type="character" w:customStyle="1" w:styleId="20">
    <w:name w:val="Заголовок 2 Знак"/>
    <w:basedOn w:val="a0"/>
    <w:link w:val="2"/>
    <w:uiPriority w:val="9"/>
    <w:rsid w:val="00F614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1</cp:revision>
  <dcterms:created xsi:type="dcterms:W3CDTF">2025-12-07T22:17:00Z</dcterms:created>
  <dcterms:modified xsi:type="dcterms:W3CDTF">2025-12-07T22:23:00Z</dcterms:modified>
</cp:coreProperties>
</file>