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131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1-3,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15 scenarios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 scenario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green at both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5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the-committed-sample-spec-83"/>
    <w:p>
      <w:pPr>
        <w:pStyle w:val="Heading3"/>
      </w:pPr>
      <w:r>
        <w:rPr>
          <w:lang w:val="en-GB"/>
        </w:rPr>
        <w:t xml:space="preserve">The committed sample (SPEC 8.3)</w:t>
      </w:r>
    </w:p>
    <w:p>
      <w:pPr>
        <w:pStyle w:val="FirstParagraph"/>
      </w:pPr>
      <w:r>
        <w:rPr>
          <w:rStyle w:val="VerbatimChar"/>
          <w:lang w:val="en-GB"/>
        </w:rPr>
        <w:t xml:space="preserve">data/bookings-sample.jsonl</w:t>
      </w:r>
      <w:r>
        <w:rPr>
          <w:lang w:val="en-GB"/>
        </w:rPr>
        <w:t xml:space="preserve"> </w:t>
      </w:r>
      <w:r>
        <w:rPr>
          <w:lang w:val="en-GB"/>
        </w:rPr>
        <w:t xml:space="preserve">— 200 rows, seed 42 — and its oracle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data/bookings-sample.jsonl.expected.json</w:t>
      </w:r>
      <w:r>
        <w:rPr>
          <w:lang w:val="en-GB"/>
        </w:rPr>
        <w:t xml:space="preserve"> </w:t>
      </w:r>
      <w:r>
        <w:rPr>
          <w:lang w:val="en-GB"/>
        </w:rPr>
        <w:t xml:space="preserve">are committed and replayed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features/sample_dataset.feature</w:t>
      </w:r>
      <w:r>
        <w:rPr>
          <w:lang w:val="en-GB"/>
        </w:rPr>
        <w:t xml:space="preserve">. Distribution at the committed seed: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MALFORMED_MESSAGE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</w:t>
            </w:r>
          </w:p>
        </w:tc>
      </w:tr>
    </w:tbl>
    <w:p>
      <w:pPr>
        <w:pStyle w:val="BodyText"/>
      </w:pPr>
      <w:r>
        <w:rPr>
          <w:rStyle w:val="VerbatimChar"/>
          <w:lang w:val="en-GB"/>
        </w:rPr>
        <w:t xml:space="preserve">AMBIGUOUS_*</w:t>
      </w:r>
      <w:r>
        <w:rPr>
          <w:lang w:val="en-GB"/>
        </w:rPr>
        <w:t xml:space="preserve"> </w:t>
      </w:r>
      <w:r>
        <w:rPr>
          <w:lang w:val="en-GB"/>
        </w:rPr>
        <w:t xml:space="preserve">is 0, as SPEC 8.4 predicts: the generator applies at most one edit</w:t>
      </w:r>
      <w:r>
        <w:rPr>
          <w:lang w:val="en-GB"/>
        </w:rPr>
        <w:t xml:space="preserve"> </w:t>
      </w:r>
      <w:r>
        <w:rPr>
          <w:lang w:val="en-GB"/>
        </w:rPr>
        <w:t xml:space="preserve">and the closest reference pair is 4 apart.</w:t>
      </w:r>
    </w:p>
    <w:p>
      <w:pPr>
        <w:pStyle w:val="BodyText"/>
      </w:pPr>
      <w:r>
        <w:rPr>
          <w:lang w:val="en-GB"/>
        </w:rPr>
        <w:t xml:space="preserve">The guard was mutation-tested rather than assumed. Tightening the confidence gate</w:t>
      </w:r>
      <w:r>
        <w:rPr>
          <w:lang w:val="en-GB"/>
        </w:rPr>
        <w:t xml:space="preserve"> </w:t>
      </w:r>
      <w:r>
        <w:rPr>
          <w:lang w:val="en-GB"/>
        </w:rPr>
        <w:t xml:space="preserve">from 0.85 to 0.95 produced 9 failures and 2 errors; widening the short-name</w:t>
      </w:r>
      <w:r>
        <w:rPr>
          <w:lang w:val="en-GB"/>
        </w:rPr>
        <w:t xml:space="preserve"> </w:t>
      </w:r>
      <w:r>
        <w:rPr>
          <w:lang w:val="en-GB"/>
        </w:rPr>
        <w:t xml:space="preserve">distance cap from 1 to 2 produced 3 failures. Both were caught by the unit layer</w:t>
      </w:r>
      <w:r>
        <w:rPr>
          <w:lang w:val="en-GB"/>
        </w:rPr>
        <w:t xml:space="preserve"> </w:t>
      </w:r>
      <w:r>
        <w:rPr>
          <w:lang w:val="en-GB"/>
        </w:rPr>
        <w:t xml:space="preserve">and the Cucumber layer independently.</w:t>
      </w:r>
    </w:p>
    <w:bookmarkEnd w:id="52"/>
    <w:bookmarkStart w:id="53" w:name="bulk-results-spec-84"/>
    <w:p>
      <w:pPr>
        <w:pStyle w:val="Heading3"/>
      </w:pPr>
      <w:r>
        <w:rPr>
          <w:lang w:val="en-GB"/>
        </w:rPr>
        <w:t xml:space="preserve">Bulk results (SPEC 8.4)</w:t>
      </w:r>
    </w:p>
    <w:p>
      <w:pPr>
        <w:pStyle w:val="FirstParagraph"/>
      </w:pPr>
      <w:r>
        <w:rPr>
          <w:lang w:val="en-GB"/>
        </w:rPr>
        <w:t xml:space="preserve">Measured on an Apple silicon laptop, JDK 21, synchronous in-memory bus. Throughput</w:t>
      </w:r>
      <w:r>
        <w:rPr>
          <w:lang w:val="en-GB"/>
        </w:rPr>
        <w:t xml:space="preserve"> </w:t>
      </w:r>
      <w:r>
        <w:rPr>
          <w:lang w:val="en-GB"/>
        </w:rPr>
        <w:t xml:space="preserve">is of the load-and-process phase; generation builds the oracle separately.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Generate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106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179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111 732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133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231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129 870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14 369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15 631</w:t>
            </w:r>
          </w:p>
        </w:tc>
      </w:tr>
    </w:tbl>
    <w:p>
      <w:pPr>
        <w:pStyle w:val="BodyText"/>
      </w:pPr>
      <w:r>
        <w:rPr>
          <w:lang w:val="en-GB"/>
        </w:rPr>
        <w:t xml:space="preserve">The third row exists to show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-Dbulk.seed</w:t>
      </w:r>
      <w:r>
        <w:rPr>
          <w:lang w:val="en-GB"/>
        </w:rPr>
        <w:t xml:space="preserve"> </w:t>
      </w:r>
      <w:r>
        <w:rPr>
          <w:lang w:val="en-GB"/>
        </w:rPr>
        <w:t xml:space="preserve">genuinely changes the distribution</w:t>
      </w:r>
      <w:r>
        <w:rPr>
          <w:lang w:val="en-GB"/>
        </w:rPr>
        <w:t xml:space="preserve"> </w:t>
      </w:r>
      <w:r>
        <w:rPr>
          <w:lang w:val="en-GB"/>
        </w:rPr>
        <w:t xml:space="preserve">rather than being silently ignored.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-Pbulk</w:t>
      </w:r>
      <w:r>
        <w:rPr>
          <w:lang w:val="en-GB"/>
        </w:rPr>
        <w:t xml:space="preserve"> </w:t>
      </w:r>
      <w:r>
        <w:rPr>
          <w:lang w:val="en-GB"/>
        </w:rPr>
        <w:t xml:space="preserve">runs the whole suite, not only the</w:t>
      </w:r>
      <w:r>
        <w:rPr>
          <w:lang w:val="en-GB"/>
        </w:rPr>
        <w:t xml:space="preserve"> </w:t>
      </w:r>
      <w:r>
        <w:rPr>
          <w:lang w:val="en-GB"/>
        </w:rPr>
        <w:t xml:space="preserve">tagged test: 123 tests.</w:t>
      </w:r>
    </w:p>
    <w:p>
      <w:pPr>
        <w:pStyle w:val="BodyText"/>
      </w:pPr>
      <w:r>
        <w:rPr>
          <w:lang w:val="en-GB"/>
        </w:rPr>
        <w:t xml:space="preserve">The same two runs on GitHub's shared runners: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20 161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1 552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19 330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</w:tbl>
    <w:p>
      <w:pPr>
        <w:pStyle w:val="BodyText"/>
      </w:pPr>
      <w:r>
        <w:rPr>
          <w:lang w:val="en-GB"/>
        </w:rPr>
        <w:t xml:space="preserve">Throughput is five to six times lower on shared CI hardware, which is expected and</w:t>
      </w:r>
      <w:r>
        <w:rPr>
          <w:lang w:val="en-GB"/>
        </w:rPr>
        <w:t xml:space="preserve"> </w:t>
      </w:r>
      <w:r>
        <w:rPr>
          <w:lang w:val="en-GB"/>
        </w:rPr>
        <w:t xml:space="preserve">is why the figure is only ever compared against itself.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The enriched and flagged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counts are identical to the local run.</w:t>
      </w:r>
      <w:r>
        <w:rPr>
          <w:lang w:val="en-GB"/>
        </w:rPr>
        <w:t xml:space="preserve"> </w:t>
      </w:r>
      <w:r>
        <w:rPr>
          <w:lang w:val="en-GB"/>
        </w:rPr>
        <w:t xml:space="preserve">Same seed, entirely different machine,</w:t>
      </w:r>
      <w:r>
        <w:rPr>
          <w:lang w:val="en-GB"/>
        </w:rPr>
        <w:t xml:space="preserve"> </w:t>
      </w:r>
      <w:r>
        <w:rPr>
          <w:lang w:val="en-GB"/>
        </w:rPr>
        <w:t xml:space="preserve">same distribution to the message — that is the determinism requirement of</w:t>
      </w:r>
      <w:r>
        <w:rPr>
          <w:lang w:val="en-GB"/>
        </w:rPr>
        <w:t xml:space="preserve"> </w:t>
      </w:r>
      <w:r>
        <w:rPr>
          <w:lang w:val="en-GB"/>
        </w:rPr>
        <w:t xml:space="preserve">CLAUDE.md #7 demonstrated rather than asserted.</w:t>
      </w:r>
    </w:p>
    <w:p>
      <w:pPr>
        <w:pStyle w:val="BodyText"/>
      </w:pPr>
      <w:r>
        <w:rPr>
          <w:lang w:val="en-GB"/>
        </w:rPr>
        <w:t xml:space="preserve">These numbers describe an in-memory queue with synchronous delivery, so they</w:t>
      </w:r>
      <w:r>
        <w:rPr>
          <w:lang w:val="en-GB"/>
        </w:rPr>
        <w:t xml:space="preserve"> </w:t>
      </w:r>
      <w:r>
        <w:rPr>
          <w:lang w:val="en-GB"/>
        </w:rPr>
        <w:t xml:space="preserve">measure the enrichment path and JSON binding — not Kafka. They are a regression</w:t>
      </w:r>
      <w:r>
        <w:rPr>
          <w:lang w:val="en-GB"/>
        </w:rPr>
        <w:t xml:space="preserve"> </w:t>
      </w:r>
      <w:r>
        <w:rPr>
          <w:lang w:val="en-GB"/>
        </w:rPr>
        <w:t xml:space="preserve">signal for "did this change make matching dramatically slower", not a capacity</w:t>
      </w:r>
      <w:r>
        <w:rPr>
          <w:lang w:val="en-GB"/>
        </w:rPr>
        <w:t xml:space="preserve"> </w:t>
      </w:r>
      <w:r>
        <w:rPr>
          <w:lang w:val="en-GB"/>
        </w:rPr>
        <w:t xml:space="preserve">estimate for the real service.</w:t>
      </w:r>
    </w:p>
    <w:bookmarkEnd w:id="53"/>
    <w:bookmarkStart w:id="54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6"/>
    <w:bookmarkStart w:id="57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7"/>
    <w:bookmarkStart w:id="58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2026-09-03T18:35:19Z</dcterms:created>
  <dcterms:modified xsi:type="dcterms:W3CDTF">2026-09-03T18:35:19Z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