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A0322" w14:textId="77777777" w:rsidR="007F3D63" w:rsidRPr="007F3D63" w:rsidRDefault="007F3D63" w:rsidP="007F3D63">
      <w:pPr>
        <w:rPr>
          <w:b/>
          <w:bCs/>
        </w:rPr>
      </w:pPr>
      <w:r w:rsidRPr="007F3D63">
        <w:rPr>
          <w:b/>
          <w:bCs/>
        </w:rPr>
        <w:t>Project 2 - Predicting Vehicle Loan Defaulters</w:t>
      </w:r>
    </w:p>
    <w:p w14:paraId="6356E227" w14:textId="22AF33FF" w:rsidR="007F3D63" w:rsidRPr="007F3D63" w:rsidRDefault="007F3D63" w:rsidP="007F3D63">
      <w:r w:rsidRPr="007F3D63">
        <w:rPr>
          <w:b/>
          <w:bCs/>
        </w:rPr>
        <w:t>To:</w:t>
      </w:r>
      <w:r w:rsidRPr="007F3D63">
        <w:t> Head of Risk Management &amp; Underwriting</w:t>
      </w:r>
      <w:r w:rsidRPr="007F3D63">
        <w:br/>
      </w:r>
      <w:r w:rsidRPr="007F3D63">
        <w:rPr>
          <w:b/>
          <w:bCs/>
        </w:rPr>
        <w:t>From:</w:t>
      </w:r>
      <w:r w:rsidRPr="007F3D63">
        <w:t> </w:t>
      </w:r>
      <w:r>
        <w:t>Thapelo Masebe</w:t>
      </w:r>
      <w:r w:rsidRPr="007F3D63">
        <w:t xml:space="preserve">, </w:t>
      </w:r>
      <w:r>
        <w:t xml:space="preserve">Jnr </w:t>
      </w:r>
      <w:r w:rsidRPr="007F3D63">
        <w:t xml:space="preserve">Data </w:t>
      </w:r>
      <w:r>
        <w:t>Scientist</w:t>
      </w:r>
      <w:r w:rsidRPr="007F3D63">
        <w:br/>
      </w:r>
      <w:r w:rsidRPr="007F3D63">
        <w:rPr>
          <w:b/>
          <w:bCs/>
        </w:rPr>
        <w:t>Date:</w:t>
      </w:r>
      <w:r w:rsidRPr="007F3D63">
        <w:t> August 07, 2025</w:t>
      </w:r>
      <w:r w:rsidRPr="007F3D63">
        <w:br/>
      </w:r>
      <w:r w:rsidRPr="007F3D63">
        <w:rPr>
          <w:b/>
          <w:bCs/>
        </w:rPr>
        <w:t>Subject:</w:t>
      </w:r>
      <w:r w:rsidRPr="007F3D63">
        <w:t> Analysis of Key Factors Driving Vehicle Loan Defaults &amp; Predictive Model Development</w:t>
      </w:r>
    </w:p>
    <w:p w14:paraId="172ED1DB" w14:textId="77777777" w:rsidR="007F3D63" w:rsidRPr="007F3D63" w:rsidRDefault="007F3D63" w:rsidP="007F3D63">
      <w:r w:rsidRPr="007F3D63">
        <w:pict w14:anchorId="76C59C49">
          <v:rect id="_x0000_i1037" style="width:680.4pt;height:1.5pt" o:hrpct="0" o:hralign="center" o:hrstd="t" o:hrnoshade="t" o:hr="t" fillcolor="#e2e2e5" stroked="f"/>
        </w:pict>
      </w:r>
    </w:p>
    <w:p w14:paraId="7A35704F" w14:textId="77777777" w:rsidR="007F3D63" w:rsidRPr="007F3D63" w:rsidRDefault="007F3D63" w:rsidP="007F3D63">
      <w:pPr>
        <w:rPr>
          <w:b/>
          <w:bCs/>
        </w:rPr>
      </w:pPr>
      <w:r w:rsidRPr="007F3D63">
        <w:rPr>
          <w:b/>
          <w:bCs/>
        </w:rPr>
        <w:t>1. Executive Summary</w:t>
      </w:r>
    </w:p>
    <w:p w14:paraId="6F2277EA" w14:textId="58EB646E" w:rsidR="007F3D63" w:rsidRPr="007F3D63" w:rsidRDefault="007F3D63" w:rsidP="007F3D63">
      <w:r w:rsidRPr="007F3D63">
        <w:t xml:space="preserve">This report </w:t>
      </w:r>
      <w:r w:rsidRPr="007F3D63">
        <w:t>analyses</w:t>
      </w:r>
      <w:r w:rsidRPr="007F3D63">
        <w:t xml:space="preserve"> a dataset of 233,154 vehicle loans to identify the key predictors of default, which stands at an overall rate of </w:t>
      </w:r>
      <w:r w:rsidRPr="007F3D63">
        <w:rPr>
          <w:b/>
          <w:bCs/>
        </w:rPr>
        <w:t>21.7%</w:t>
      </w:r>
      <w:r w:rsidRPr="007F3D63">
        <w:t xml:space="preserve"> within this portfolio. The analysis and a supporting </w:t>
      </w:r>
      <w:proofErr w:type="spellStart"/>
      <w:r w:rsidRPr="007F3D63">
        <w:t>LightGBM</w:t>
      </w:r>
      <w:proofErr w:type="spellEnd"/>
      <w:r w:rsidRPr="007F3D63">
        <w:t xml:space="preserve"> predictive model identified </w:t>
      </w:r>
      <w:r w:rsidRPr="007F3D63">
        <w:rPr>
          <w:b/>
          <w:bCs/>
        </w:rPr>
        <w:t>Credit Bureau (CNS) Score, Loan-to-Value (LTV) ratio, and applicant age</w:t>
      </w:r>
      <w:r w:rsidRPr="007F3D63">
        <w:t> as the most significant risk factors. We have developed an interactive risk management dashboard and a predictive model that can identify 66% of potential defaulters. We recommend implementing a tiered risk assessment system based on these key variables to significantly improve the accuracy of underwriting decisions and reduce financial losses.</w:t>
      </w:r>
    </w:p>
    <w:p w14:paraId="185F3788" w14:textId="77777777" w:rsidR="007F3D63" w:rsidRPr="007F3D63" w:rsidRDefault="007F3D63" w:rsidP="007F3D63">
      <w:pPr>
        <w:rPr>
          <w:b/>
          <w:bCs/>
        </w:rPr>
      </w:pPr>
      <w:r w:rsidRPr="007F3D63">
        <w:rPr>
          <w:b/>
          <w:bCs/>
        </w:rPr>
        <w:t>2. Problem Statement</w:t>
      </w:r>
    </w:p>
    <w:p w14:paraId="17E22910" w14:textId="77777777" w:rsidR="007F3D63" w:rsidRPr="007F3D63" w:rsidRDefault="007F3D63" w:rsidP="007F3D63">
      <w:r w:rsidRPr="007F3D63">
        <w:t>Our institution is incurring significant losses due to the default of vehicle loans. To mitigate this, a study is required to estimate the determinants of loan default. This analysis of 41 attributes aims to identify these factors, understand high-risk customer profiles, and build a predictive model to identify potential defaulters before a loan is disbursed.</w:t>
      </w:r>
    </w:p>
    <w:p w14:paraId="5A4DF752" w14:textId="77777777" w:rsidR="007F3D63" w:rsidRPr="007F3D63" w:rsidRDefault="007F3D63" w:rsidP="007F3D63">
      <w:pPr>
        <w:rPr>
          <w:b/>
          <w:bCs/>
        </w:rPr>
      </w:pPr>
      <w:r w:rsidRPr="007F3D63">
        <w:rPr>
          <w:b/>
          <w:bCs/>
        </w:rPr>
        <w:t>3. Data Preparation</w:t>
      </w:r>
    </w:p>
    <w:p w14:paraId="7C15DA94" w14:textId="77777777" w:rsidR="007F3D63" w:rsidRPr="007F3D63" w:rsidRDefault="007F3D63" w:rsidP="007F3D63">
      <w:r w:rsidRPr="007F3D63">
        <w:t>The initial dataset of 233,154 loan applications was inspected. All variable names were standardized to a Python-friendly format. The </w:t>
      </w:r>
      <w:proofErr w:type="spellStart"/>
      <w:r w:rsidRPr="007F3D63">
        <w:t>Employment.Type</w:t>
      </w:r>
      <w:proofErr w:type="spellEnd"/>
      <w:r w:rsidRPr="007F3D63">
        <w:t> column contained a small number of missing values (7,661), which were imputed using the mode ("</w:t>
      </w:r>
      <w:proofErr w:type="spellStart"/>
      <w:r w:rsidRPr="007F3D63">
        <w:t>Self employed</w:t>
      </w:r>
      <w:proofErr w:type="spellEnd"/>
      <w:r w:rsidRPr="007F3D63">
        <w:t>"). No duplicate records were found. Advanced features, such as </w:t>
      </w:r>
      <w:proofErr w:type="spellStart"/>
      <w:r w:rsidRPr="007F3D63">
        <w:t>debt_to_asset_ratio</w:t>
      </w:r>
      <w:proofErr w:type="spellEnd"/>
      <w:r w:rsidRPr="007F3D63">
        <w:t> and flags for missing credit scores, were engineered to enhance model performance.</w:t>
      </w:r>
    </w:p>
    <w:p w14:paraId="6D6F5F24" w14:textId="77777777" w:rsidR="007F3D63" w:rsidRPr="007F3D63" w:rsidRDefault="007F3D63" w:rsidP="007F3D63">
      <w:pPr>
        <w:rPr>
          <w:b/>
          <w:bCs/>
        </w:rPr>
      </w:pPr>
      <w:r w:rsidRPr="007F3D63">
        <w:rPr>
          <w:b/>
          <w:bCs/>
        </w:rPr>
        <w:t>4. Exploratory Data Analysis (EDA) &amp; Dashboard Insights</w:t>
      </w:r>
    </w:p>
    <w:p w14:paraId="64A1E030" w14:textId="77777777" w:rsidR="007F3D63" w:rsidRPr="007F3D63" w:rsidRDefault="007F3D63" w:rsidP="007F3D63">
      <w:r w:rsidRPr="007F3D63">
        <w:t>An interactive Tableau dashboard was created to provide a 360-degree view of the risk factors. The dashboard allows risk analysts to dynamically filter the data to investigate specific customer segments and their associated risk profiles.</w:t>
      </w:r>
    </w:p>
    <w:p w14:paraId="11774916" w14:textId="33E8E541" w:rsidR="007F3D63" w:rsidRPr="007F3D63" w:rsidRDefault="007F3D63" w:rsidP="007F3D63">
      <w:r>
        <w:rPr>
          <w:i/>
          <w:iCs/>
          <w:noProof/>
        </w:rPr>
        <w:lastRenderedPageBreak/>
        <w:drawing>
          <wp:inline distT="0" distB="0" distL="0" distR="0" wp14:anchorId="5D7734E5" wp14:editId="6734CF63">
            <wp:extent cx="5725160" cy="3220085"/>
            <wp:effectExtent l="0" t="0" r="8890" b="0"/>
            <wp:docPr id="187774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63">
        <w:rPr>
          <w:b/>
          <w:bCs/>
        </w:rPr>
        <w:t>Figure 1: Vehicle Loan Default Risk Management Interactive Dashboard</w:t>
      </w:r>
    </w:p>
    <w:p w14:paraId="283B9900" w14:textId="77777777" w:rsidR="007F3D63" w:rsidRPr="007F3D63" w:rsidRDefault="007F3D63" w:rsidP="007F3D63">
      <w:r w:rsidRPr="007F3D63">
        <w:pict w14:anchorId="1609832D">
          <v:rect id="_x0000_i1038" style="width:680.4pt;height:1.5pt" o:hrpct="0" o:hralign="center" o:hrstd="t" o:hrnoshade="t" o:hr="t" fillcolor="#e2e2e5" stroked="f"/>
        </w:pict>
      </w:r>
    </w:p>
    <w:p w14:paraId="11695DD5" w14:textId="77777777" w:rsidR="007F3D63" w:rsidRPr="007F3D63" w:rsidRDefault="007F3D63" w:rsidP="007F3D63">
      <w:r w:rsidRPr="007F3D63">
        <w:rPr>
          <w:b/>
          <w:bCs/>
        </w:rPr>
        <w:t>Key insights derived from the dashboard include:</w:t>
      </w:r>
    </w:p>
    <w:p w14:paraId="12417D23" w14:textId="77777777" w:rsidR="007F3D63" w:rsidRPr="007F3D63" w:rsidRDefault="007F3D63" w:rsidP="007F3D63">
      <w:pPr>
        <w:numPr>
          <w:ilvl w:val="0"/>
          <w:numId w:val="1"/>
        </w:numPr>
      </w:pPr>
      <w:r w:rsidRPr="007F3D63">
        <w:rPr>
          <w:b/>
          <w:bCs/>
        </w:rPr>
        <w:t>Insight 1: The High-Risk Demographic Profile</w:t>
      </w:r>
      <w:r w:rsidRPr="007F3D63">
        <w:br/>
        <w:t>The "Heatmap - Age &amp; Employment" is the most powerful visualization for demographic risk. It reveals a clear and actionable pattern: </w:t>
      </w:r>
      <w:r w:rsidRPr="007F3D63">
        <w:rPr>
          <w:b/>
          <w:bCs/>
        </w:rPr>
        <w:t>younger, self-employed applicants consistently show the highest default rates.</w:t>
      </w:r>
      <w:r w:rsidRPr="007F3D63">
        <w:t> For example, self-employed applicants in the 25-30 age bracket have a default rate of </w:t>
      </w:r>
      <w:r w:rsidRPr="007F3D63">
        <w:rPr>
          <w:b/>
          <w:bCs/>
        </w:rPr>
        <w:t>29.3%</w:t>
      </w:r>
      <w:r w:rsidRPr="007F3D63">
        <w:t>, significantly higher than the 21.6% for their salaried counterparts and the portfolio average of 21.7%.</w:t>
      </w:r>
    </w:p>
    <w:p w14:paraId="756A6980" w14:textId="77777777" w:rsidR="007F3D63" w:rsidRPr="007F3D63" w:rsidRDefault="007F3D63" w:rsidP="007F3D63">
      <w:pPr>
        <w:numPr>
          <w:ilvl w:val="0"/>
          <w:numId w:val="1"/>
        </w:numPr>
      </w:pPr>
      <w:r w:rsidRPr="007F3D63">
        <w:rPr>
          <w:b/>
          <w:bCs/>
        </w:rPr>
        <w:t>Insight 2: The Critical Importance of Credit History</w:t>
      </w:r>
      <w:r w:rsidRPr="007F3D63">
        <w:br/>
        <w:t>The "Box - CNS Score" plot demonstrates a stark and immediate difference between the two groups. </w:t>
      </w:r>
      <w:r w:rsidRPr="007F3D63">
        <w:rPr>
          <w:b/>
          <w:bCs/>
        </w:rPr>
        <w:t>The median CNS score for defaulters is 0</w:t>
      </w:r>
      <w:r w:rsidRPr="007F3D63">
        <w:t>, indicating a complete lack of credit history for a large portion of this group. In contrast, non-defaulters have a much healthier median score of 329. The absence of a credit score is one of the most powerful predictors of default.</w:t>
      </w:r>
    </w:p>
    <w:p w14:paraId="0E5E3FC6" w14:textId="77777777" w:rsidR="007F3D63" w:rsidRPr="007F3D63" w:rsidRDefault="007F3D63" w:rsidP="007F3D63">
      <w:pPr>
        <w:numPr>
          <w:ilvl w:val="0"/>
          <w:numId w:val="1"/>
        </w:numPr>
      </w:pPr>
      <w:r w:rsidRPr="007F3D63">
        <w:rPr>
          <w:b/>
          <w:bCs/>
        </w:rPr>
        <w:t>Insight 3: Geographic Risk is Not Uniform</w:t>
      </w:r>
      <w:r w:rsidRPr="007F3D63">
        <w:br/>
        <w:t>The "Default Rate by State" bar chart shows that risk is heavily concentrated in specific geographic areas. </w:t>
      </w:r>
      <w:r w:rsidRPr="007F3D63">
        <w:rPr>
          <w:b/>
          <w:bCs/>
        </w:rPr>
        <w:t>States like ID 13 and 14 exhibit default rates approaching 30%</w:t>
      </w:r>
      <w:r w:rsidRPr="007F3D63">
        <w:t>, well above the average. This indicates that regional economic factors or specific branch/supplier networks may be contributing to higher risk.</w:t>
      </w:r>
    </w:p>
    <w:p w14:paraId="50C1548A" w14:textId="77777777" w:rsidR="007F3D63" w:rsidRPr="007F3D63" w:rsidRDefault="007F3D63" w:rsidP="007F3D63">
      <w:pPr>
        <w:numPr>
          <w:ilvl w:val="0"/>
          <w:numId w:val="1"/>
        </w:numPr>
      </w:pPr>
      <w:r w:rsidRPr="007F3D63">
        <w:rPr>
          <w:b/>
          <w:bCs/>
        </w:rPr>
        <w:t>Insight 4: Financial Metrics Validate Risk</w:t>
      </w:r>
      <w:r w:rsidRPr="007F3D63">
        <w:br/>
        <w:t xml:space="preserve">The "Loan-to-Value (LTV) vs. Disbursed Amount" scatter plot shows that </w:t>
      </w:r>
      <w:r w:rsidRPr="007F3D63">
        <w:lastRenderedPageBreak/>
        <w:t xml:space="preserve">defaulted loans (red dots) are prevalent across all loan </w:t>
      </w:r>
      <w:proofErr w:type="gramStart"/>
      <w:r w:rsidRPr="007F3D63">
        <w:t>sizes, but</w:t>
      </w:r>
      <w:proofErr w:type="gramEnd"/>
      <w:r w:rsidRPr="007F3D63">
        <w:t xml:space="preserve"> are particularly common at higher LTV ratios. This confirms that loans with less customer equity are inherently riskier.</w:t>
      </w:r>
    </w:p>
    <w:p w14:paraId="23D50229" w14:textId="7B36EA27" w:rsidR="007F3D63" w:rsidRPr="007F3D63" w:rsidRDefault="007F3D63" w:rsidP="007F3D63">
      <w:pPr>
        <w:rPr>
          <w:b/>
          <w:bCs/>
        </w:rPr>
      </w:pPr>
      <w:r w:rsidRPr="007F3D63">
        <w:rPr>
          <w:b/>
          <w:bCs/>
        </w:rPr>
        <w:t xml:space="preserve">5. </w:t>
      </w:r>
      <w:r w:rsidRPr="007F3D63">
        <w:rPr>
          <w:b/>
          <w:bCs/>
        </w:rPr>
        <w:t>Modelling</w:t>
      </w:r>
      <w:r w:rsidRPr="007F3D63">
        <w:rPr>
          <w:b/>
          <w:bCs/>
        </w:rPr>
        <w:t xml:space="preserve"> and Evaluation</w:t>
      </w:r>
    </w:p>
    <w:p w14:paraId="3DC09212" w14:textId="77777777" w:rsidR="007F3D63" w:rsidRPr="007F3D63" w:rsidRDefault="007F3D63" w:rsidP="007F3D63">
      <w:r w:rsidRPr="007F3D63">
        <w:t>To operationalize these insights, an initial Logistic Regression model was built, followed by a more powerful </w:t>
      </w:r>
      <w:proofErr w:type="spellStart"/>
      <w:r w:rsidRPr="007F3D63">
        <w:rPr>
          <w:b/>
          <w:bCs/>
        </w:rPr>
        <w:t>LightGBM</w:t>
      </w:r>
      <w:proofErr w:type="spellEnd"/>
      <w:r w:rsidRPr="007F3D63">
        <w:rPr>
          <w:b/>
          <w:bCs/>
        </w:rPr>
        <w:t xml:space="preserve"> (Light Gradient Boosting Machine)</w:t>
      </w:r>
      <w:r w:rsidRPr="007F3D63">
        <w:t xml:space="preserve"> model. The </w:t>
      </w:r>
      <w:proofErr w:type="spellStart"/>
      <w:r w:rsidRPr="007F3D63">
        <w:t>LightGBM</w:t>
      </w:r>
      <w:proofErr w:type="spellEnd"/>
      <w:r w:rsidRPr="007F3D63">
        <w:t xml:space="preserve"> model was chosen for its ability to handle the complex, non-linear interactions in financial data and its superior performance.</w:t>
      </w:r>
    </w:p>
    <w:p w14:paraId="1FB098B4" w14:textId="77777777" w:rsidR="007F3D63" w:rsidRPr="007F3D63" w:rsidRDefault="007F3D63" w:rsidP="007F3D63">
      <w:r w:rsidRPr="007F3D63">
        <w:rPr>
          <w:i/>
          <w:iCs/>
        </w:rPr>
        <w:t>(Insert the Confusion Matrix and Classification Report images from your 03_modeling_and_evaluation_</w:t>
      </w:r>
      <w:proofErr w:type="gramStart"/>
      <w:r w:rsidRPr="007F3D63">
        <w:rPr>
          <w:i/>
          <w:iCs/>
        </w:rPr>
        <w:t>enhanced.ipynb</w:t>
      </w:r>
      <w:proofErr w:type="gramEnd"/>
      <w:r w:rsidRPr="007F3D63">
        <w:rPr>
          <w:i/>
          <w:iCs/>
        </w:rPr>
        <w:t> notebook here)</w:t>
      </w:r>
    </w:p>
    <w:p w14:paraId="54DEF4E6" w14:textId="77777777" w:rsidR="007F3D63" w:rsidRPr="007F3D63" w:rsidRDefault="007F3D63" w:rsidP="007F3D63">
      <w:r w:rsidRPr="007F3D63">
        <w:rPr>
          <w:b/>
          <w:bCs/>
        </w:rPr>
        <w:t xml:space="preserve">Figure 2: </w:t>
      </w:r>
      <w:proofErr w:type="spellStart"/>
      <w:r w:rsidRPr="007F3D63">
        <w:rPr>
          <w:b/>
          <w:bCs/>
        </w:rPr>
        <w:t>LightGBM</w:t>
      </w:r>
      <w:proofErr w:type="spellEnd"/>
      <w:r w:rsidRPr="007F3D63">
        <w:rPr>
          <w:b/>
          <w:bCs/>
        </w:rPr>
        <w:t xml:space="preserve"> Model Classification Report and Confusion Matrix</w:t>
      </w:r>
    </w:p>
    <w:p w14:paraId="08660EA6" w14:textId="77777777" w:rsidR="007F3D63" w:rsidRPr="007F3D63" w:rsidRDefault="007F3D63" w:rsidP="007F3D63">
      <w:r w:rsidRPr="007F3D63">
        <w:rPr>
          <w:b/>
          <w:bCs/>
        </w:rPr>
        <w:t>Model Performance Summary:</w:t>
      </w:r>
    </w:p>
    <w:p w14:paraId="4E4CA9C8" w14:textId="77777777" w:rsidR="007F3D63" w:rsidRPr="007F3D63" w:rsidRDefault="007F3D63" w:rsidP="007F3D63">
      <w:pPr>
        <w:numPr>
          <w:ilvl w:val="0"/>
          <w:numId w:val="2"/>
        </w:numPr>
      </w:pPr>
      <w:r w:rsidRPr="007F3D63">
        <w:t>The final model achieved a </w:t>
      </w:r>
      <w:r w:rsidRPr="007F3D63">
        <w:rPr>
          <w:b/>
          <w:bCs/>
        </w:rPr>
        <w:t>recall of 66%</w:t>
      </w:r>
      <w:r w:rsidRPr="007F3D63">
        <w:t> for the "Default" class. This is a crucial metric, as it means the model successfully </w:t>
      </w:r>
      <w:r w:rsidRPr="007F3D63">
        <w:rPr>
          <w:b/>
          <w:bCs/>
        </w:rPr>
        <w:t>identifies two-thirds of all potential defaulters</w:t>
      </w:r>
      <w:r w:rsidRPr="007F3D63">
        <w:t>, allowing for early intervention.</w:t>
      </w:r>
    </w:p>
    <w:p w14:paraId="6E1A2F53" w14:textId="77777777" w:rsidR="007F3D63" w:rsidRPr="007F3D63" w:rsidRDefault="007F3D63" w:rsidP="007F3D63">
      <w:pPr>
        <w:numPr>
          <w:ilvl w:val="0"/>
          <w:numId w:val="2"/>
        </w:numPr>
      </w:pPr>
      <w:r w:rsidRPr="007F3D63">
        <w:t>The model's </w:t>
      </w:r>
      <w:r w:rsidRPr="007F3D63">
        <w:rPr>
          <w:b/>
          <w:bCs/>
        </w:rPr>
        <w:t>precision of 30%</w:t>
      </w:r>
      <w:r w:rsidRPr="007F3D63">
        <w:t xml:space="preserve"> indicates that while it correctly flags many defaulters, it also flags </w:t>
      </w:r>
      <w:proofErr w:type="gramStart"/>
      <w:r w:rsidRPr="007F3D63">
        <w:t>a number of</w:t>
      </w:r>
      <w:proofErr w:type="gramEnd"/>
      <w:r w:rsidRPr="007F3D63">
        <w:t xml:space="preserve"> non-defaulters. This suggests the model is best used as a </w:t>
      </w:r>
      <w:r w:rsidRPr="007F3D63">
        <w:rPr>
          <w:b/>
          <w:bCs/>
        </w:rPr>
        <w:t>primary screening tool</w:t>
      </w:r>
      <w:r w:rsidRPr="007F3D63">
        <w:t> to identify applications that require a mandatory secondary review by a human underwriter.</w:t>
      </w:r>
    </w:p>
    <w:p w14:paraId="7D9682E7" w14:textId="77777777" w:rsidR="007F3D63" w:rsidRPr="007F3D63" w:rsidRDefault="007F3D63" w:rsidP="007F3D63">
      <w:pPr>
        <w:rPr>
          <w:b/>
          <w:bCs/>
        </w:rPr>
      </w:pPr>
      <w:r w:rsidRPr="007F3D63">
        <w:rPr>
          <w:b/>
          <w:bCs/>
        </w:rPr>
        <w:t>6. Actionable Recommendations</w:t>
      </w:r>
    </w:p>
    <w:p w14:paraId="1228CC96" w14:textId="77777777" w:rsidR="007F3D63" w:rsidRPr="007F3D63" w:rsidRDefault="007F3D63" w:rsidP="007F3D63">
      <w:pPr>
        <w:numPr>
          <w:ilvl w:val="0"/>
          <w:numId w:val="3"/>
        </w:numPr>
      </w:pPr>
      <w:r w:rsidRPr="007F3D63">
        <w:rPr>
          <w:b/>
          <w:bCs/>
        </w:rPr>
        <w:t>Implement a Tiered Underwriting System:</w:t>
      </w:r>
    </w:p>
    <w:p w14:paraId="423D42ED" w14:textId="77777777" w:rsidR="007F3D63" w:rsidRPr="007F3D63" w:rsidRDefault="007F3D63" w:rsidP="007F3D63">
      <w:pPr>
        <w:numPr>
          <w:ilvl w:val="1"/>
          <w:numId w:val="3"/>
        </w:numPr>
      </w:pPr>
      <w:r w:rsidRPr="007F3D63">
        <w:rPr>
          <w:b/>
          <w:bCs/>
        </w:rPr>
        <w:t>High-Risk (Automated Flag for Review):</w:t>
      </w:r>
      <w:r w:rsidRPr="007F3D63">
        <w:t> Automatically flag applications from </w:t>
      </w:r>
      <w:r w:rsidRPr="007F3D63">
        <w:rPr>
          <w:b/>
          <w:bCs/>
        </w:rPr>
        <w:t>self-employed individuals under 40</w:t>
      </w:r>
      <w:r w:rsidRPr="007F3D63">
        <w:t> and any applicant with a </w:t>
      </w:r>
      <w:r w:rsidRPr="007F3D63">
        <w:rPr>
          <w:b/>
          <w:bCs/>
        </w:rPr>
        <w:t>CNS Score of 0</w:t>
      </w:r>
      <w:r w:rsidRPr="007F3D63">
        <w:t> for mandatory manual review.</w:t>
      </w:r>
    </w:p>
    <w:p w14:paraId="433D4CEC" w14:textId="77777777" w:rsidR="007F3D63" w:rsidRPr="007F3D63" w:rsidRDefault="007F3D63" w:rsidP="007F3D63">
      <w:pPr>
        <w:numPr>
          <w:ilvl w:val="1"/>
          <w:numId w:val="3"/>
        </w:numPr>
      </w:pPr>
      <w:r w:rsidRPr="007F3D63">
        <w:rPr>
          <w:b/>
          <w:bCs/>
        </w:rPr>
        <w:t>Medium-Risk:</w:t>
      </w:r>
      <w:r w:rsidRPr="007F3D63">
        <w:t> Apply stricter LTV limits for applications originating from the top 3 highest-risk states identified in the dashboard.</w:t>
      </w:r>
    </w:p>
    <w:p w14:paraId="21BCD6DF" w14:textId="77777777" w:rsidR="007F3D63" w:rsidRPr="007F3D63" w:rsidRDefault="007F3D63" w:rsidP="007F3D63">
      <w:pPr>
        <w:numPr>
          <w:ilvl w:val="0"/>
          <w:numId w:val="3"/>
        </w:numPr>
      </w:pPr>
      <w:r w:rsidRPr="007F3D63">
        <w:rPr>
          <w:b/>
          <w:bCs/>
        </w:rPr>
        <w:t>Integrate Model Score into Decisioning:</w:t>
      </w:r>
      <w:r w:rsidRPr="007F3D63">
        <w:t> Use the predictive model's probability score as a key variable in the credit decisioning process. Applications with a predicted default probability above a set threshold (e.g., 60%) should be subject to stricter verification.</w:t>
      </w:r>
    </w:p>
    <w:p w14:paraId="074FAB21" w14:textId="13A2CA3A" w:rsidR="0092508A" w:rsidRDefault="007F3D63" w:rsidP="007F3D63">
      <w:pPr>
        <w:numPr>
          <w:ilvl w:val="0"/>
          <w:numId w:val="3"/>
        </w:numPr>
      </w:pPr>
      <w:r w:rsidRPr="007F3D63">
        <w:rPr>
          <w:b/>
          <w:bCs/>
        </w:rPr>
        <w:t>Utilize the Dashboard for Portfolio Monitoring:</w:t>
      </w:r>
      <w:r w:rsidRPr="007F3D63">
        <w:t> The Risk Management team should use the interactive Tableau dashboard as a weekly tool to monitor portfolio health, track default rates across different segments, and identify emerging risk trends.</w:t>
      </w:r>
    </w:p>
    <w:sectPr w:rsidR="0092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63FC0"/>
    <w:multiLevelType w:val="multilevel"/>
    <w:tmpl w:val="E622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42A08"/>
    <w:multiLevelType w:val="multilevel"/>
    <w:tmpl w:val="3DB6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5348E"/>
    <w:multiLevelType w:val="multilevel"/>
    <w:tmpl w:val="EDC0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817658">
    <w:abstractNumId w:val="2"/>
  </w:num>
  <w:num w:numId="2" w16cid:durableId="1264412063">
    <w:abstractNumId w:val="0"/>
  </w:num>
  <w:num w:numId="3" w16cid:durableId="214080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63"/>
    <w:rsid w:val="00254137"/>
    <w:rsid w:val="007F3D63"/>
    <w:rsid w:val="0092508A"/>
    <w:rsid w:val="00D5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DF9B3"/>
  <w15:chartTrackingRefBased/>
  <w15:docId w15:val="{44EFBDDC-2F95-4A75-B17E-5AAE2958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 Masebe</dc:creator>
  <cp:keywords/>
  <dc:description/>
  <cp:lastModifiedBy>Thapelo Masebe</cp:lastModifiedBy>
  <cp:revision>1</cp:revision>
  <dcterms:created xsi:type="dcterms:W3CDTF">2025-08-06T10:14:00Z</dcterms:created>
  <dcterms:modified xsi:type="dcterms:W3CDTF">2025-08-06T10:16:00Z</dcterms:modified>
</cp:coreProperties>
</file>