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7585B" w14:textId="4C1D1385" w:rsidR="00602738" w:rsidRPr="00602738" w:rsidRDefault="0018636A" w:rsidP="00602738">
      <w:r>
        <w:rPr>
          <w:b/>
          <w:bCs/>
        </w:rPr>
        <w:t xml:space="preserve"> </w:t>
      </w:r>
      <w:r w:rsidR="00602738" w:rsidRPr="00602738">
        <w:rPr>
          <w:b/>
          <w:bCs/>
        </w:rPr>
        <w:t>Executive Summary</w:t>
      </w:r>
    </w:p>
    <w:p w14:paraId="1245519C" w14:textId="77777777" w:rsidR="00602738" w:rsidRPr="00602738" w:rsidRDefault="00602738" w:rsidP="00602738">
      <w:r w:rsidRPr="00602738">
        <w:t>This project analyzes historical college admission data to identify the key factors influencing student acceptance decisions. Using logistic regression, decision tree, and support vector machine (SVM) models, we evaluated the predictive power of academic scores (GRE, GPA), socioeconomic status, gender, race, and undergraduate institution rank. Our findings show that GRE, GPA, and undergraduate rank are the most significant drivers of admission. The decision tree model provided the best balance of accuracy and interpretability, achieving an overall accuracy of 75.8%. These insights can help admissions committees refine their selection criteria and ensure a fair, data-driven process.</w:t>
      </w:r>
    </w:p>
    <w:p w14:paraId="08588A25" w14:textId="77777777" w:rsidR="00602738" w:rsidRPr="00602738" w:rsidRDefault="00F86A99" w:rsidP="00602738">
      <w:r>
        <w:pict w14:anchorId="7DCE848E">
          <v:rect id="_x0000_i1025" style="width:0;height:0" o:hralign="center" o:hrstd="t" o:hr="t" fillcolor="#a0a0a0" stroked="f"/>
        </w:pict>
      </w:r>
    </w:p>
    <w:p w14:paraId="47B850F5" w14:textId="77777777" w:rsidR="00602738" w:rsidRPr="00602738" w:rsidRDefault="00602738" w:rsidP="00602738">
      <w:r w:rsidRPr="00602738">
        <w:rPr>
          <w:b/>
          <w:bCs/>
        </w:rPr>
        <w:t>Results</w:t>
      </w:r>
    </w:p>
    <w:p w14:paraId="0506A498" w14:textId="77777777" w:rsidR="00602738" w:rsidRPr="00602738" w:rsidRDefault="00602738" w:rsidP="00602738">
      <w:pPr>
        <w:rPr>
          <w:b/>
          <w:bCs/>
        </w:rPr>
      </w:pPr>
      <w:r w:rsidRPr="00602738">
        <w:rPr>
          <w:b/>
          <w:bCs/>
        </w:rPr>
        <w:t>1. Data Overview</w:t>
      </w:r>
    </w:p>
    <w:p w14:paraId="6AE509AC" w14:textId="77777777" w:rsidR="00602738" w:rsidRPr="00602738" w:rsidRDefault="00602738" w:rsidP="00602738">
      <w:pPr>
        <w:numPr>
          <w:ilvl w:val="0"/>
          <w:numId w:val="1"/>
        </w:numPr>
      </w:pPr>
      <w:r w:rsidRPr="00602738">
        <w:rPr>
          <w:b/>
          <w:bCs/>
        </w:rPr>
        <w:t>Observations:</w:t>
      </w:r>
      <w:r w:rsidRPr="00602738">
        <w:t> 400 applicants</w:t>
      </w:r>
    </w:p>
    <w:p w14:paraId="6FB0FD00" w14:textId="77777777" w:rsidR="00602738" w:rsidRPr="00602738" w:rsidRDefault="00602738" w:rsidP="00602738">
      <w:pPr>
        <w:numPr>
          <w:ilvl w:val="0"/>
          <w:numId w:val="1"/>
        </w:numPr>
      </w:pPr>
      <w:r w:rsidRPr="00602738">
        <w:rPr>
          <w:b/>
          <w:bCs/>
        </w:rPr>
        <w:t>Variables:</w:t>
      </w:r>
      <w:r w:rsidRPr="00602738">
        <w:t> admit (admitted/not), gre, gpa, ses (socioeconomic status), Gender_M, Race, rank (undergrad prestige)</w:t>
      </w:r>
    </w:p>
    <w:p w14:paraId="73E6CA08" w14:textId="77777777" w:rsidR="00602738" w:rsidRPr="00602738" w:rsidRDefault="00602738" w:rsidP="00602738">
      <w:pPr>
        <w:numPr>
          <w:ilvl w:val="0"/>
          <w:numId w:val="1"/>
        </w:numPr>
      </w:pPr>
      <w:r w:rsidRPr="00602738">
        <w:rPr>
          <w:b/>
          <w:bCs/>
        </w:rPr>
        <w:t>No missing values</w:t>
      </w:r>
    </w:p>
    <w:p w14:paraId="77E1776F" w14:textId="77777777" w:rsidR="00602738" w:rsidRPr="00602738" w:rsidRDefault="00602738" w:rsidP="00602738">
      <w:pPr>
        <w:numPr>
          <w:ilvl w:val="0"/>
          <w:numId w:val="1"/>
        </w:numPr>
      </w:pPr>
      <w:r w:rsidRPr="00602738">
        <w:rPr>
          <w:b/>
          <w:bCs/>
        </w:rPr>
        <w:t>Categorical variables converted to factors</w:t>
      </w:r>
    </w:p>
    <w:p w14:paraId="1FAFD822" w14:textId="77777777" w:rsidR="00602738" w:rsidRPr="00602738" w:rsidRDefault="00F86A99" w:rsidP="00602738">
      <w:r>
        <w:pict w14:anchorId="76C035DE">
          <v:rect id="_x0000_i1026" style="width:0;height:0" o:hralign="center" o:hrstd="t" o:hr="t" fillcolor="#a0a0a0" stroked="f"/>
        </w:pict>
      </w:r>
    </w:p>
    <w:p w14:paraId="38035F1A" w14:textId="77777777" w:rsidR="00602738" w:rsidRPr="00602738" w:rsidRDefault="00602738" w:rsidP="00602738">
      <w:pPr>
        <w:rPr>
          <w:b/>
          <w:bCs/>
        </w:rPr>
      </w:pPr>
      <w:r w:rsidRPr="00602738">
        <w:rPr>
          <w:b/>
          <w:bCs/>
        </w:rPr>
        <w:t>2. Descriptive Analysis</w:t>
      </w:r>
    </w:p>
    <w:p w14:paraId="74643E9C" w14:textId="77777777" w:rsidR="00602738" w:rsidRPr="00602738" w:rsidRDefault="00602738" w:rsidP="00602738">
      <w:r w:rsidRPr="00602738">
        <w:rPr>
          <w:b/>
          <w:bCs/>
        </w:rPr>
        <w:t>Admission Rate by GPA Category</w:t>
      </w:r>
    </w:p>
    <w:p w14:paraId="44C2E287" w14:textId="77777777" w:rsidR="00602738" w:rsidRPr="00602738" w:rsidRDefault="00602738" w:rsidP="00602738">
      <w:pPr>
        <w:numPr>
          <w:ilvl w:val="0"/>
          <w:numId w:val="2"/>
        </w:numPr>
      </w:pPr>
      <w:r w:rsidRPr="00602738">
        <w:t>Applicants were grouped as:</w:t>
      </w:r>
    </w:p>
    <w:p w14:paraId="037938A0" w14:textId="77777777" w:rsidR="00602738" w:rsidRPr="00602738" w:rsidRDefault="00602738" w:rsidP="00602738">
      <w:pPr>
        <w:numPr>
          <w:ilvl w:val="0"/>
          <w:numId w:val="2"/>
        </w:numPr>
      </w:pPr>
      <w:r w:rsidRPr="00602738">
        <w:t>Low GPA: &lt; 3.0</w:t>
      </w:r>
    </w:p>
    <w:p w14:paraId="5C7E14F6" w14:textId="77777777" w:rsidR="00602738" w:rsidRPr="00602738" w:rsidRDefault="00602738" w:rsidP="00602738">
      <w:pPr>
        <w:numPr>
          <w:ilvl w:val="0"/>
          <w:numId w:val="2"/>
        </w:numPr>
      </w:pPr>
      <w:r w:rsidRPr="00602738">
        <w:t>Medium GPA: 3.0–3.69</w:t>
      </w:r>
    </w:p>
    <w:p w14:paraId="6BF6FC1A" w14:textId="77777777" w:rsidR="00602738" w:rsidRPr="00602738" w:rsidRDefault="00602738" w:rsidP="00602738">
      <w:pPr>
        <w:numPr>
          <w:ilvl w:val="0"/>
          <w:numId w:val="2"/>
        </w:numPr>
      </w:pPr>
      <w:r w:rsidRPr="00602738">
        <w:t>High GPA: ≥ 3.7</w:t>
      </w:r>
    </w:p>
    <w:p w14:paraId="7D32705F" w14:textId="77777777" w:rsidR="00602738" w:rsidRPr="00602738" w:rsidRDefault="00602738" w:rsidP="00602738">
      <w:pPr>
        <w:numPr>
          <w:ilvl w:val="0"/>
          <w:numId w:val="2"/>
        </w:numPr>
      </w:pPr>
      <w:r w:rsidRPr="00602738">
        <w:rPr>
          <w:i/>
          <w:iCs/>
        </w:rPr>
        <w:t>Finding:</w:t>
      </w:r>
      <w:r w:rsidRPr="00602738">
        <w:t> Admission rates increase sharply with higher GPA.</w:t>
      </w:r>
    </w:p>
    <w:p w14:paraId="130DE154" w14:textId="77777777" w:rsidR="00602738" w:rsidRPr="00602738" w:rsidRDefault="00602738" w:rsidP="00602738">
      <w:pPr>
        <w:numPr>
          <w:ilvl w:val="0"/>
          <w:numId w:val="2"/>
        </w:numPr>
      </w:pPr>
      <w:r w:rsidRPr="00602738">
        <w:rPr>
          <w:i/>
          <w:iCs/>
        </w:rPr>
        <w:t>(Insert point plot here)</w:t>
      </w:r>
    </w:p>
    <w:p w14:paraId="168A0DE3" w14:textId="77777777" w:rsidR="00602738" w:rsidRPr="00602738" w:rsidRDefault="00602738" w:rsidP="00602738">
      <w:r w:rsidRPr="00602738">
        <w:rPr>
          <w:b/>
          <w:bCs/>
        </w:rPr>
        <w:t>Admission Proportion by GRE Category</w:t>
      </w:r>
    </w:p>
    <w:p w14:paraId="4943840C" w14:textId="77777777" w:rsidR="00602738" w:rsidRPr="00602738" w:rsidRDefault="00602738" w:rsidP="00602738">
      <w:pPr>
        <w:numPr>
          <w:ilvl w:val="0"/>
          <w:numId w:val="3"/>
        </w:numPr>
      </w:pPr>
      <w:r w:rsidRPr="00602738">
        <w:t>GRE categorized as: -: ≤ 440</w:t>
      </w:r>
    </w:p>
    <w:p w14:paraId="3E2D9E3F" w14:textId="77777777" w:rsidR="00602738" w:rsidRPr="00602738" w:rsidRDefault="00602738" w:rsidP="00602738">
      <w:pPr>
        <w:numPr>
          <w:ilvl w:val="0"/>
          <w:numId w:val="3"/>
        </w:numPr>
      </w:pPr>
      <w:r w:rsidRPr="00602738">
        <w:t>Medium: 441–580</w:t>
      </w:r>
    </w:p>
    <w:p w14:paraId="771CA136" w14:textId="77777777" w:rsidR="00602738" w:rsidRPr="00602738" w:rsidRDefault="00602738" w:rsidP="00602738">
      <w:pPr>
        <w:numPr>
          <w:ilvl w:val="0"/>
          <w:numId w:val="3"/>
        </w:numPr>
      </w:pPr>
      <w:r w:rsidRPr="00602738">
        <w:t>High: &gt; 580</w:t>
      </w:r>
    </w:p>
    <w:p w14:paraId="20619C04" w14:textId="77777777" w:rsidR="00602738" w:rsidRPr="00602738" w:rsidRDefault="00602738" w:rsidP="00602738">
      <w:pPr>
        <w:numPr>
          <w:ilvl w:val="0"/>
          <w:numId w:val="3"/>
        </w:numPr>
      </w:pPr>
      <w:r w:rsidRPr="00602738">
        <w:rPr>
          <w:i/>
          <w:iCs/>
        </w:rPr>
        <w:lastRenderedPageBreak/>
        <w:t>Finding:</w:t>
      </w:r>
      <w:r w:rsidRPr="00602738">
        <w:t> Higher GRE categories correspond to higher admission proportions.</w:t>
      </w:r>
    </w:p>
    <w:p w14:paraId="4A6A0521" w14:textId="77777777" w:rsidR="00602738" w:rsidRPr="00602738" w:rsidRDefault="00F86A99" w:rsidP="00602738">
      <w:r>
        <w:pict w14:anchorId="46DF7045">
          <v:rect id="_x0000_i1027" style="width:0;height:0" o:hralign="center" o:hrstd="t" o:hr="t" fillcolor="#a0a0a0" stroked="f"/>
        </w:pict>
      </w:r>
    </w:p>
    <w:p w14:paraId="6053B10E" w14:textId="77777777" w:rsidR="00602738" w:rsidRPr="00602738" w:rsidRDefault="00602738" w:rsidP="00602738">
      <w:pPr>
        <w:rPr>
          <w:b/>
          <w:bCs/>
        </w:rPr>
      </w:pPr>
      <w:r w:rsidRPr="00602738">
        <w:rPr>
          <w:b/>
          <w:bCs/>
        </w:rPr>
        <w:t>3. Predictive Modeling</w:t>
      </w:r>
    </w:p>
    <w:p w14:paraId="05BC5FC6" w14:textId="77777777" w:rsidR="00602738" w:rsidRPr="00602738" w:rsidRDefault="00602738" w:rsidP="00602738">
      <w:r w:rsidRPr="00602738">
        <w:rPr>
          <w:b/>
          <w:bCs/>
        </w:rPr>
        <w:t>Logistic Regression</w:t>
      </w:r>
    </w:p>
    <w:p w14:paraId="26B2E1CF" w14:textId="77777777" w:rsidR="00602738" w:rsidRPr="00602738" w:rsidRDefault="00602738" w:rsidP="00602738">
      <w:pPr>
        <w:numPr>
          <w:ilvl w:val="0"/>
          <w:numId w:val="4"/>
        </w:numPr>
      </w:pPr>
      <w:r w:rsidRPr="00602738">
        <w:rPr>
          <w:b/>
          <w:bCs/>
        </w:rPr>
        <w:t>Significant predictors:</w:t>
      </w:r>
      <w:r w:rsidRPr="00602738">
        <w:t> GRE (p = 0.038), GPA (p = 0.015), and undergraduate rank (all p &lt; 0.05).</w:t>
      </w:r>
    </w:p>
    <w:p w14:paraId="378D827D" w14:textId="77777777" w:rsidR="00602738" w:rsidRPr="00602738" w:rsidRDefault="00602738" w:rsidP="00602738">
      <w:pPr>
        <w:numPr>
          <w:ilvl w:val="0"/>
          <w:numId w:val="4"/>
        </w:numPr>
      </w:pPr>
      <w:r w:rsidRPr="00602738">
        <w:rPr>
          <w:b/>
          <w:bCs/>
        </w:rPr>
        <w:t>Non-significant:</w:t>
      </w:r>
      <w:r w:rsidRPr="00602738">
        <w:t> SES, Gender, Race.</w:t>
      </w:r>
    </w:p>
    <w:p w14:paraId="4AD3C968" w14:textId="77777777" w:rsidR="00602738" w:rsidRPr="00602738" w:rsidRDefault="00602738" w:rsidP="00602738">
      <w:pPr>
        <w:numPr>
          <w:ilvl w:val="0"/>
          <w:numId w:val="4"/>
        </w:numPr>
      </w:pPr>
      <w:r w:rsidRPr="00602738">
        <w:rPr>
          <w:b/>
          <w:bCs/>
        </w:rPr>
        <w:t>Accuracy:</w:t>
      </w:r>
      <w:r w:rsidRPr="00602738">
        <w:t> 71.8%</w:t>
      </w:r>
    </w:p>
    <w:p w14:paraId="39E26603" w14:textId="77777777" w:rsidR="00602738" w:rsidRPr="00602738" w:rsidRDefault="00602738" w:rsidP="00602738">
      <w:pPr>
        <w:numPr>
          <w:ilvl w:val="0"/>
          <w:numId w:val="4"/>
        </w:numPr>
      </w:pPr>
      <w:r w:rsidRPr="00602738">
        <w:rPr>
          <w:b/>
          <w:bCs/>
        </w:rPr>
        <w:t>Sensitivity:</w:t>
      </w:r>
      <w:r w:rsidRPr="00602738">
        <w:t> 92.3% (correctly identifies non-admits) -Specificity:** 27.6% (less effective at identifying admits)</w:t>
      </w:r>
    </w:p>
    <w:p w14:paraId="3D7042A7" w14:textId="77777777" w:rsidR="00602738" w:rsidRPr="00602738" w:rsidRDefault="00602738" w:rsidP="00602738">
      <w:r w:rsidRPr="00602738">
        <w:rPr>
          <w:b/>
          <w:bCs/>
        </w:rPr>
        <w:t>Decision Tree</w:t>
      </w:r>
    </w:p>
    <w:p w14:paraId="16B9D80A" w14:textId="77777777" w:rsidR="00602738" w:rsidRPr="00602738" w:rsidRDefault="00602738" w:rsidP="00602738">
      <w:pPr>
        <w:numPr>
          <w:ilvl w:val="0"/>
          <w:numId w:val="5"/>
        </w:numPr>
      </w:pPr>
      <w:r w:rsidRPr="00602738">
        <w:rPr>
          <w:b/>
          <w:bCs/>
        </w:rPr>
        <w:t>Key splits:</w:t>
      </w:r>
      <w:r w:rsidRPr="00602738">
        <w:t> GPA, rank, GRE.</w:t>
      </w:r>
    </w:p>
    <w:p w14:paraId="72A1A32A" w14:textId="77777777" w:rsidR="00602738" w:rsidRPr="00602738" w:rsidRDefault="00602738" w:rsidP="00602738">
      <w:pPr>
        <w:numPr>
          <w:ilvl w:val="0"/>
          <w:numId w:val="5"/>
        </w:numPr>
      </w:pPr>
      <w:r w:rsidRPr="00602738">
        <w:rPr>
          <w:b/>
          <w:bCs/>
        </w:rPr>
        <w:t>Accuracy:</w:t>
      </w:r>
      <w:r w:rsidRPr="00602738">
        <w:t> 75.8%</w:t>
      </w:r>
    </w:p>
    <w:p w14:paraId="3DFD708D" w14:textId="77777777" w:rsidR="00602738" w:rsidRPr="00602738" w:rsidRDefault="00602738" w:rsidP="00602738">
      <w:pPr>
        <w:numPr>
          <w:ilvl w:val="0"/>
          <w:numId w:val="5"/>
        </w:numPr>
      </w:pPr>
      <w:r w:rsidRPr="00602738">
        <w:rPr>
          <w:b/>
          <w:bCs/>
        </w:rPr>
        <w:t>Sensitivity:</w:t>
      </w:r>
      <w:r w:rsidRPr="00602738">
        <w:t> 93.0%</w:t>
      </w:r>
    </w:p>
    <w:p w14:paraId="3ED3B973" w14:textId="77777777" w:rsidR="00602738" w:rsidRPr="00602738" w:rsidRDefault="00602738" w:rsidP="00602738">
      <w:pPr>
        <w:numPr>
          <w:ilvl w:val="0"/>
          <w:numId w:val="5"/>
        </w:numPr>
      </w:pPr>
      <w:r w:rsidRPr="00602738">
        <w:rPr>
          <w:b/>
          <w:bCs/>
        </w:rPr>
        <w:t>Specificity:</w:t>
      </w:r>
      <w:r w:rsidRPr="00602738">
        <w:t> 38.6%</w:t>
      </w:r>
    </w:p>
    <w:p w14:paraId="5B7E3DA7" w14:textId="77777777" w:rsidR="00602738" w:rsidRPr="00602738" w:rsidRDefault="00602738" w:rsidP="00602738">
      <w:pPr>
        <w:numPr>
          <w:ilvl w:val="0"/>
          <w:numId w:val="5"/>
        </w:numPr>
      </w:pPr>
      <w:r w:rsidRPr="00602738">
        <w:rPr>
          <w:b/>
          <w:bCs/>
        </w:rPr>
        <w:t>Interpretation:</w:t>
      </w:r>
      <w:r w:rsidRPr="00602738">
        <w:t> The tree shows that higher GPA and lower rank (more prestigious undergrad) drive admissions.</w:t>
      </w:r>
    </w:p>
    <w:p w14:paraId="256039D9" w14:textId="1AEB7D65" w:rsidR="00602738" w:rsidRPr="00602738" w:rsidRDefault="00602738" w:rsidP="00602738">
      <w:r>
        <w:rPr>
          <w:b/>
          <w:bCs/>
          <w:noProof/>
        </w:rPr>
        <w:lastRenderedPageBreak/>
        <w:drawing>
          <wp:inline distT="0" distB="0" distL="0" distR="0" wp14:anchorId="5736465C" wp14:editId="2638F13B">
            <wp:extent cx="5540220" cy="4496190"/>
            <wp:effectExtent l="0" t="0" r="3810" b="0"/>
            <wp:docPr id="31473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30903" name="Picture 314730903"/>
                    <pic:cNvPicPr/>
                  </pic:nvPicPr>
                  <pic:blipFill>
                    <a:blip r:embed="rId5">
                      <a:extLst>
                        <a:ext uri="{28A0092B-C50C-407E-A947-70E740481C1C}">
                          <a14:useLocalDpi xmlns:a14="http://schemas.microsoft.com/office/drawing/2010/main" val="0"/>
                        </a:ext>
                      </a:extLst>
                    </a:blip>
                    <a:stretch>
                      <a:fillRect/>
                    </a:stretch>
                  </pic:blipFill>
                  <pic:spPr>
                    <a:xfrm>
                      <a:off x="0" y="0"/>
                      <a:ext cx="5540220" cy="4496190"/>
                    </a:xfrm>
                    <a:prstGeom prst="rect">
                      <a:avLst/>
                    </a:prstGeom>
                  </pic:spPr>
                </pic:pic>
              </a:graphicData>
            </a:graphic>
          </wp:inline>
        </w:drawing>
      </w:r>
      <w:r w:rsidRPr="00602738">
        <w:rPr>
          <w:b/>
          <w:bCs/>
        </w:rPr>
        <w:t>Support Vector Machine (SVM)</w:t>
      </w:r>
    </w:p>
    <w:p w14:paraId="7797ED9B" w14:textId="77777777" w:rsidR="00602738" w:rsidRPr="00602738" w:rsidRDefault="00602738" w:rsidP="00602738">
      <w:pPr>
        <w:numPr>
          <w:ilvl w:val="0"/>
          <w:numId w:val="6"/>
        </w:numPr>
      </w:pPr>
      <w:r w:rsidRPr="00602738">
        <w:rPr>
          <w:b/>
          <w:bCs/>
        </w:rPr>
        <w:t>Accuracy:</w:t>
      </w:r>
      <w:r w:rsidRPr="00602738">
        <w:t> 68.3%</w:t>
      </w:r>
    </w:p>
    <w:p w14:paraId="1A8340DB" w14:textId="77777777" w:rsidR="00602738" w:rsidRPr="00602738" w:rsidRDefault="00602738" w:rsidP="00602738">
      <w:pPr>
        <w:numPr>
          <w:ilvl w:val="0"/>
          <w:numId w:val="6"/>
        </w:numPr>
      </w:pPr>
      <w:r w:rsidRPr="00602738">
        <w:rPr>
          <w:b/>
          <w:bCs/>
        </w:rPr>
        <w:t>Sensitivity:</w:t>
      </w:r>
      <w:r w:rsidRPr="00602738">
        <w:t> 100% (predicts all as non-admit)</w:t>
      </w:r>
    </w:p>
    <w:p w14:paraId="385BDA9D" w14:textId="77777777" w:rsidR="00602738" w:rsidRPr="00602738" w:rsidRDefault="00602738" w:rsidP="00602738">
      <w:pPr>
        <w:numPr>
          <w:ilvl w:val="0"/>
          <w:numId w:val="6"/>
        </w:numPr>
      </w:pPr>
      <w:r w:rsidRPr="00602738">
        <w:rPr>
          <w:b/>
          <w:bCs/>
        </w:rPr>
        <w:t>Specificity:</w:t>
      </w:r>
      <w:r w:rsidRPr="00602738">
        <w:t> 0% (does not predict any admits)</w:t>
      </w:r>
    </w:p>
    <w:p w14:paraId="36DE96B2" w14:textId="77777777" w:rsidR="00602738" w:rsidRPr="00602738" w:rsidRDefault="00602738" w:rsidP="00602738">
      <w:pPr>
        <w:numPr>
          <w:ilvl w:val="0"/>
          <w:numId w:val="6"/>
        </w:numPr>
      </w:pPr>
      <w:r w:rsidRPr="00602738">
        <w:rPr>
          <w:b/>
          <w:bCs/>
        </w:rPr>
        <w:t>Note:</w:t>
      </w:r>
      <w:r w:rsidRPr="00602738">
        <w:t> SVM with default settings is not useful here; further tuning required.</w:t>
      </w:r>
    </w:p>
    <w:p w14:paraId="14480674" w14:textId="77777777" w:rsidR="00602738" w:rsidRPr="00602738" w:rsidRDefault="00F86A99" w:rsidP="00602738">
      <w:r>
        <w:pict w14:anchorId="04E2F331">
          <v:rect id="_x0000_i1028" style="width:0;height:0" o:hralign="center" o:hrstd="t" o:hr="t" fillcolor="#a0a0a0" stroked="f"/>
        </w:pict>
      </w:r>
    </w:p>
    <w:p w14:paraId="2A2C572D" w14:textId="77777777" w:rsidR="00602738" w:rsidRPr="00602738" w:rsidRDefault="00602738" w:rsidP="00602738">
      <w:pPr>
        <w:rPr>
          <w:b/>
          <w:bCs/>
        </w:rPr>
      </w:pPr>
      <w:r w:rsidRPr="00602738">
        <w:rPr>
          <w:b/>
          <w:bCs/>
        </w:rPr>
        <w:t>4. Model Comparison Table</w:t>
      </w:r>
    </w:p>
    <w:tbl>
      <w:tblPr>
        <w:tblW w:w="0" w:type="auto"/>
        <w:tblBorders>
          <w:top w:val="single" w:sz="6" w:space="0" w:color="EAECEF"/>
          <w:left w:val="single" w:sz="6" w:space="0" w:color="EAECEF"/>
          <w:bottom w:val="single" w:sz="6" w:space="0" w:color="EAECEF"/>
          <w:right w:val="single" w:sz="6" w:space="0" w:color="EAECEF"/>
        </w:tblBorders>
        <w:shd w:val="clear" w:color="auto" w:fill="FFFFFF"/>
        <w:tblCellMar>
          <w:top w:w="15" w:type="dxa"/>
          <w:left w:w="15" w:type="dxa"/>
          <w:bottom w:w="15" w:type="dxa"/>
          <w:right w:w="15" w:type="dxa"/>
        </w:tblCellMar>
        <w:tblLook w:val="04A0" w:firstRow="1" w:lastRow="0" w:firstColumn="1" w:lastColumn="0" w:noHBand="0" w:noVBand="1"/>
      </w:tblPr>
      <w:tblGrid>
        <w:gridCol w:w="2293"/>
        <w:gridCol w:w="1314"/>
        <w:gridCol w:w="1444"/>
        <w:gridCol w:w="1460"/>
        <w:gridCol w:w="993"/>
      </w:tblGrid>
      <w:tr w:rsidR="00602738" w:rsidRPr="00602738" w14:paraId="04C4E76D" w14:textId="77777777" w:rsidTr="00602738">
        <w:trPr>
          <w:tblHeader/>
        </w:trPr>
        <w:tc>
          <w:tcPr>
            <w:tcW w:w="0" w:type="auto"/>
            <w:tcBorders>
              <w:top w:val="single" w:sz="6" w:space="0" w:color="EAECEF"/>
              <w:left w:val="nil"/>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2191452" w14:textId="77777777" w:rsidR="00602738" w:rsidRPr="00602738" w:rsidRDefault="00602738" w:rsidP="00602738">
            <w:pPr>
              <w:rPr>
                <w:b/>
                <w:bCs/>
              </w:rPr>
            </w:pPr>
            <w:r w:rsidRPr="00602738">
              <w:rPr>
                <w:b/>
                <w:bCs/>
              </w:rPr>
              <w:t>Model</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72D3F65" w14:textId="77777777" w:rsidR="00602738" w:rsidRPr="00602738" w:rsidRDefault="00602738" w:rsidP="00602738">
            <w:pPr>
              <w:rPr>
                <w:b/>
                <w:bCs/>
              </w:rPr>
            </w:pPr>
            <w:r w:rsidRPr="00602738">
              <w:rPr>
                <w:b/>
                <w:bCs/>
              </w:rPr>
              <w:t>Accuracy</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DE5C29C" w14:textId="77777777" w:rsidR="00602738" w:rsidRPr="00602738" w:rsidRDefault="00602738" w:rsidP="00602738">
            <w:pPr>
              <w:rPr>
                <w:b/>
                <w:bCs/>
              </w:rPr>
            </w:pPr>
            <w:r w:rsidRPr="00602738">
              <w:rPr>
                <w:b/>
                <w:bCs/>
              </w:rPr>
              <w:t>Sensitivity</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267BF01" w14:textId="77777777" w:rsidR="00602738" w:rsidRPr="00602738" w:rsidRDefault="00602738" w:rsidP="00602738">
            <w:pPr>
              <w:rPr>
                <w:b/>
                <w:bCs/>
              </w:rPr>
            </w:pPr>
            <w:r w:rsidRPr="00602738">
              <w:rPr>
                <w:b/>
                <w:bCs/>
              </w:rPr>
              <w:t>Specificity</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1174528" w14:textId="77777777" w:rsidR="00602738" w:rsidRPr="00602738" w:rsidRDefault="00602738" w:rsidP="00602738">
            <w:pPr>
              <w:rPr>
                <w:b/>
                <w:bCs/>
              </w:rPr>
            </w:pPr>
            <w:r w:rsidRPr="00602738">
              <w:rPr>
                <w:b/>
                <w:bCs/>
              </w:rPr>
              <w:t>Kappa</w:t>
            </w:r>
          </w:p>
        </w:tc>
      </w:tr>
      <w:tr w:rsidR="00602738" w:rsidRPr="00602738" w14:paraId="12EA7E83" w14:textId="77777777" w:rsidTr="00602738">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0EEF68D" w14:textId="77777777" w:rsidR="00602738" w:rsidRPr="00602738" w:rsidRDefault="00602738" w:rsidP="00602738">
            <w:r w:rsidRPr="00602738">
              <w:t>Logistic Regression</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A752A4F" w14:textId="77777777" w:rsidR="00602738" w:rsidRPr="00602738" w:rsidRDefault="00602738" w:rsidP="00602738">
            <w:r w:rsidRPr="00602738">
              <w:t>0.718</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BE4DD2F" w14:textId="77777777" w:rsidR="00602738" w:rsidRPr="00602738" w:rsidRDefault="00602738" w:rsidP="00602738">
            <w:r w:rsidRPr="00602738">
              <w:t>0.923</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6062EA9" w14:textId="77777777" w:rsidR="00602738" w:rsidRPr="00602738" w:rsidRDefault="00602738" w:rsidP="00602738">
            <w:r w:rsidRPr="00602738">
              <w:t>0.276</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4638FA63" w14:textId="77777777" w:rsidR="00602738" w:rsidRPr="00602738" w:rsidRDefault="00602738" w:rsidP="00602738">
            <w:r w:rsidRPr="00602738">
              <w:t>0.234</w:t>
            </w:r>
          </w:p>
        </w:tc>
      </w:tr>
      <w:tr w:rsidR="00602738" w:rsidRPr="00602738" w14:paraId="7EA8EE6F" w14:textId="77777777" w:rsidTr="00602738">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49041333" w14:textId="77777777" w:rsidR="00602738" w:rsidRPr="00602738" w:rsidRDefault="00602738" w:rsidP="00602738">
            <w:r w:rsidRPr="00602738">
              <w:t>Decision Tree</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3C615A6D" w14:textId="77777777" w:rsidR="00602738" w:rsidRPr="00602738" w:rsidRDefault="00602738" w:rsidP="00602738">
            <w:r w:rsidRPr="00602738">
              <w:t>0.758</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7DD6EBB3" w14:textId="77777777" w:rsidR="00602738" w:rsidRPr="00602738" w:rsidRDefault="00602738" w:rsidP="00602738">
            <w:r w:rsidRPr="00602738">
              <w:t>0.930</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391D25A4" w14:textId="77777777" w:rsidR="00602738" w:rsidRPr="00602738" w:rsidRDefault="00602738" w:rsidP="00602738">
            <w:r w:rsidRPr="00602738">
              <w:t>0.386</w:t>
            </w:r>
          </w:p>
        </w:tc>
        <w:tc>
          <w:tcPr>
            <w:tcW w:w="0" w:type="auto"/>
            <w:tcBorders>
              <w:top w:val="single" w:sz="6" w:space="0" w:color="EAECEF"/>
              <w:left w:val="single" w:sz="6" w:space="0" w:color="EAECEF"/>
              <w:bottom w:val="single" w:sz="6" w:space="0" w:color="EAECEF"/>
              <w:right w:val="single" w:sz="6" w:space="0" w:color="EAECEF"/>
            </w:tcBorders>
            <w:shd w:val="clear" w:color="auto" w:fill="FCFCFC"/>
            <w:tcMar>
              <w:top w:w="75" w:type="dxa"/>
              <w:left w:w="150" w:type="dxa"/>
              <w:bottom w:w="75" w:type="dxa"/>
              <w:right w:w="150" w:type="dxa"/>
            </w:tcMar>
            <w:vAlign w:val="center"/>
            <w:hideMark/>
          </w:tcPr>
          <w:p w14:paraId="2E39E8E9" w14:textId="77777777" w:rsidR="00602738" w:rsidRPr="00602738" w:rsidRDefault="00602738" w:rsidP="00602738">
            <w:r w:rsidRPr="00602738">
              <w:t>0.361</w:t>
            </w:r>
          </w:p>
        </w:tc>
      </w:tr>
      <w:tr w:rsidR="00602738" w:rsidRPr="00602738" w14:paraId="6C05D9C9" w14:textId="77777777" w:rsidTr="00602738">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31D01694" w14:textId="77777777" w:rsidR="00602738" w:rsidRPr="00602738" w:rsidRDefault="00602738" w:rsidP="00602738">
            <w:r w:rsidRPr="00602738">
              <w:t>SVM</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16FF0828" w14:textId="77777777" w:rsidR="00602738" w:rsidRPr="00602738" w:rsidRDefault="00602738" w:rsidP="00602738">
            <w:r w:rsidRPr="00602738">
              <w:t>0.683</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0E89895" w14:textId="77777777" w:rsidR="00602738" w:rsidRPr="00602738" w:rsidRDefault="00602738" w:rsidP="00602738">
            <w:r w:rsidRPr="00602738">
              <w:t>1.000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063272DC" w14:textId="77777777" w:rsidR="00602738" w:rsidRPr="00602738" w:rsidRDefault="00602738" w:rsidP="00602738">
            <w:r w:rsidRPr="00602738">
              <w:t>0.000</w:t>
            </w:r>
          </w:p>
        </w:tc>
        <w:tc>
          <w:tcPr>
            <w:tcW w:w="0" w:type="auto"/>
            <w:tcBorders>
              <w:top w:val="single" w:sz="6" w:space="0" w:color="EAECEF"/>
              <w:left w:val="single" w:sz="6" w:space="0" w:color="EAECEF"/>
              <w:bottom w:val="single" w:sz="6" w:space="0" w:color="EAECEF"/>
              <w:right w:val="single" w:sz="6" w:space="0" w:color="EAECEF"/>
            </w:tcBorders>
            <w:shd w:val="clear" w:color="auto" w:fill="FFFFFF"/>
            <w:tcMar>
              <w:top w:w="75" w:type="dxa"/>
              <w:left w:w="150" w:type="dxa"/>
              <w:bottom w:w="75" w:type="dxa"/>
              <w:right w:w="150" w:type="dxa"/>
            </w:tcMar>
            <w:vAlign w:val="center"/>
            <w:hideMark/>
          </w:tcPr>
          <w:p w14:paraId="586D1685" w14:textId="77777777" w:rsidR="00602738" w:rsidRPr="00602738" w:rsidRDefault="00602738" w:rsidP="00602738">
            <w:r w:rsidRPr="00602738">
              <w:t>0.000</w:t>
            </w:r>
          </w:p>
        </w:tc>
      </w:tr>
    </w:tbl>
    <w:p w14:paraId="3780DC52" w14:textId="77777777" w:rsidR="00602738" w:rsidRPr="00602738" w:rsidRDefault="00602738" w:rsidP="00602738">
      <w:r w:rsidRPr="00602738">
        <w:rPr>
          <w:i/>
          <w:iCs/>
        </w:rPr>
        <w:t>Decision tree is the champion model.</w:t>
      </w:r>
    </w:p>
    <w:p w14:paraId="659109A2" w14:textId="77777777" w:rsidR="00602738" w:rsidRPr="00602738" w:rsidRDefault="00F86A99" w:rsidP="00602738">
      <w:r>
        <w:lastRenderedPageBreak/>
        <w:pict w14:anchorId="11985667">
          <v:rect id="_x0000_i1029" style="width:0;height:0" o:hralign="center" o:hrstd="t" o:hr="t" fillcolor="#a0a0a0" stroked="f"/>
        </w:pict>
      </w:r>
    </w:p>
    <w:p w14:paraId="082B6F83" w14:textId="77777777" w:rsidR="00602738" w:rsidRPr="00602738" w:rsidRDefault="00602738" w:rsidP="00602738">
      <w:pPr>
        <w:rPr>
          <w:b/>
          <w:bCs/>
        </w:rPr>
      </w:pPr>
      <w:r w:rsidRPr="00602738">
        <w:rPr>
          <w:b/>
          <w:bCs/>
        </w:rPr>
        <w:t>5. Insights</w:t>
      </w:r>
    </w:p>
    <w:p w14:paraId="05619809" w14:textId="77777777" w:rsidR="00602738" w:rsidRPr="00602738" w:rsidRDefault="00602738" w:rsidP="00602738">
      <w:pPr>
        <w:numPr>
          <w:ilvl w:val="0"/>
          <w:numId w:val="7"/>
        </w:numPr>
      </w:pPr>
      <w:r w:rsidRPr="00602738">
        <w:rPr>
          <w:b/>
          <w:bCs/>
        </w:rPr>
        <w:t>Academic achievement (GPA, GRE) and undergraduate school prestige are the main drivers of admission.</w:t>
      </w:r>
    </w:p>
    <w:p w14:paraId="0C124187" w14:textId="77777777" w:rsidR="00602738" w:rsidRPr="00602738" w:rsidRDefault="00602738" w:rsidP="00602738">
      <w:pPr>
        <w:numPr>
          <w:ilvl w:val="0"/>
          <w:numId w:val="7"/>
        </w:numPr>
      </w:pPr>
      <w:r w:rsidRPr="00602738">
        <w:rPr>
          <w:b/>
          <w:bCs/>
        </w:rPr>
        <w:t>Socioeconomic status, gender, and do not significantly affect admission after controlling for academic variables.</w:t>
      </w:r>
    </w:p>
    <w:p w14:paraId="33688A9F" w14:textId="77777777" w:rsidR="00602738" w:rsidRPr="00602738" w:rsidRDefault="00602738" w:rsidP="00602738">
      <w:pPr>
        <w:numPr>
          <w:ilvl w:val="0"/>
          <w:numId w:val="7"/>
        </w:numPr>
      </w:pPr>
      <w:r w:rsidRPr="00602738">
        <w:rPr>
          <w:b/>
          <w:bCs/>
        </w:rPr>
        <w:t>Decision tree provides the best prediction performance and is easy to interpret for stakeholders.</w:t>
      </w:r>
    </w:p>
    <w:p w14:paraId="010FBB24" w14:textId="77777777" w:rsidR="0092508A" w:rsidRDefault="0092508A"/>
    <w:sectPr w:rsidR="00925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35AE6"/>
    <w:multiLevelType w:val="multilevel"/>
    <w:tmpl w:val="C8D2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17B44"/>
    <w:multiLevelType w:val="multilevel"/>
    <w:tmpl w:val="66A0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E306E"/>
    <w:multiLevelType w:val="multilevel"/>
    <w:tmpl w:val="2E94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1010B"/>
    <w:multiLevelType w:val="multilevel"/>
    <w:tmpl w:val="3F64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43976"/>
    <w:multiLevelType w:val="multilevel"/>
    <w:tmpl w:val="6456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76C51"/>
    <w:multiLevelType w:val="multilevel"/>
    <w:tmpl w:val="69C8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17A5F"/>
    <w:multiLevelType w:val="multilevel"/>
    <w:tmpl w:val="DF70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660445">
    <w:abstractNumId w:val="0"/>
  </w:num>
  <w:num w:numId="2" w16cid:durableId="356277162">
    <w:abstractNumId w:val="3"/>
  </w:num>
  <w:num w:numId="3" w16cid:durableId="1727727273">
    <w:abstractNumId w:val="4"/>
  </w:num>
  <w:num w:numId="4" w16cid:durableId="458493300">
    <w:abstractNumId w:val="1"/>
  </w:num>
  <w:num w:numId="5" w16cid:durableId="1261067242">
    <w:abstractNumId w:val="2"/>
  </w:num>
  <w:num w:numId="6" w16cid:durableId="975724066">
    <w:abstractNumId w:val="6"/>
  </w:num>
  <w:num w:numId="7" w16cid:durableId="5370818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38"/>
    <w:rsid w:val="0018636A"/>
    <w:rsid w:val="00254137"/>
    <w:rsid w:val="00447F57"/>
    <w:rsid w:val="00602738"/>
    <w:rsid w:val="0069117C"/>
    <w:rsid w:val="006E2525"/>
    <w:rsid w:val="0092508A"/>
    <w:rsid w:val="00F86A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554F7A0"/>
  <w15:chartTrackingRefBased/>
  <w15:docId w15:val="{64DEE25A-3039-4AC7-A7D2-B4952235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738"/>
    <w:rPr>
      <w:rFonts w:eastAsiaTheme="majorEastAsia" w:cstheme="majorBidi"/>
      <w:color w:val="272727" w:themeColor="text1" w:themeTint="D8"/>
    </w:rPr>
  </w:style>
  <w:style w:type="paragraph" w:styleId="Title">
    <w:name w:val="Title"/>
    <w:basedOn w:val="Normal"/>
    <w:next w:val="Normal"/>
    <w:link w:val="TitleChar"/>
    <w:uiPriority w:val="10"/>
    <w:qFormat/>
    <w:rsid w:val="00602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738"/>
    <w:pPr>
      <w:spacing w:before="160"/>
      <w:jc w:val="center"/>
    </w:pPr>
    <w:rPr>
      <w:i/>
      <w:iCs/>
      <w:color w:val="404040" w:themeColor="text1" w:themeTint="BF"/>
    </w:rPr>
  </w:style>
  <w:style w:type="character" w:customStyle="1" w:styleId="QuoteChar">
    <w:name w:val="Quote Char"/>
    <w:basedOn w:val="DefaultParagraphFont"/>
    <w:link w:val="Quote"/>
    <w:uiPriority w:val="29"/>
    <w:rsid w:val="00602738"/>
    <w:rPr>
      <w:i/>
      <w:iCs/>
      <w:color w:val="404040" w:themeColor="text1" w:themeTint="BF"/>
    </w:rPr>
  </w:style>
  <w:style w:type="paragraph" w:styleId="ListParagraph">
    <w:name w:val="List Paragraph"/>
    <w:basedOn w:val="Normal"/>
    <w:uiPriority w:val="34"/>
    <w:qFormat/>
    <w:rsid w:val="00602738"/>
    <w:pPr>
      <w:ind w:left="720"/>
      <w:contextualSpacing/>
    </w:pPr>
  </w:style>
  <w:style w:type="character" w:styleId="IntenseEmphasis">
    <w:name w:val="Intense Emphasis"/>
    <w:basedOn w:val="DefaultParagraphFont"/>
    <w:uiPriority w:val="21"/>
    <w:qFormat/>
    <w:rsid w:val="00602738"/>
    <w:rPr>
      <w:i/>
      <w:iCs/>
      <w:color w:val="0F4761" w:themeColor="accent1" w:themeShade="BF"/>
    </w:rPr>
  </w:style>
  <w:style w:type="paragraph" w:styleId="IntenseQuote">
    <w:name w:val="Intense Quote"/>
    <w:basedOn w:val="Normal"/>
    <w:next w:val="Normal"/>
    <w:link w:val="IntenseQuoteChar"/>
    <w:uiPriority w:val="30"/>
    <w:qFormat/>
    <w:rsid w:val="00602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738"/>
    <w:rPr>
      <w:i/>
      <w:iCs/>
      <w:color w:val="0F4761" w:themeColor="accent1" w:themeShade="BF"/>
    </w:rPr>
  </w:style>
  <w:style w:type="character" w:styleId="IntenseReference">
    <w:name w:val="Intense Reference"/>
    <w:basedOn w:val="DefaultParagraphFont"/>
    <w:uiPriority w:val="32"/>
    <w:qFormat/>
    <w:rsid w:val="006027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827005">
      <w:bodyDiv w:val="1"/>
      <w:marLeft w:val="0"/>
      <w:marRight w:val="0"/>
      <w:marTop w:val="0"/>
      <w:marBottom w:val="0"/>
      <w:divBdr>
        <w:top w:val="none" w:sz="0" w:space="0" w:color="auto"/>
        <w:left w:val="none" w:sz="0" w:space="0" w:color="auto"/>
        <w:bottom w:val="none" w:sz="0" w:space="0" w:color="auto"/>
        <w:right w:val="none" w:sz="0" w:space="0" w:color="auto"/>
      </w:divBdr>
    </w:div>
    <w:div w:id="200739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1410</TotalTime>
  <Pages>4</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Thapelo Masebe</dc:creator>
  <cp:keywords/>
  <dc:description/>
  <cp:lastModifiedBy>Thapelo Masebe</cp:lastModifiedBy>
  <cp:revision>3</cp:revision>
  <dcterms:created xsi:type="dcterms:W3CDTF">2025-05-28T19:01:00Z</dcterms:created>
  <dcterms:modified xsi:type="dcterms:W3CDTF">2025-07-06T15:43:00Z</dcterms:modified>
</cp:coreProperties>
</file>