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Law &amp; Reglementation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Pour padtouch dans le monde du travail ( aucune infos sur les lois et règles pour la fabrication)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Article R4542-12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Les équipements des postes de travail ne doivent pas produire un surcroît de chaleur susceptible de constituer une gêne pour les travailleurs.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Article R4542-7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Le clavier de l'écran de visualisation obéit aux caractéristiques suivantes 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1° Il est inclinable et dissocié de l'écran pour permettre au travailleur d'avoir une position confortable qui ne provoque pas de fatigue des avant-bras ou des mains 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2° L'espace devant le clavier est suffisant pour permettre un appui pour les mains et les avant-bras de l'utilisateur;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3° Le clavier a une surface mate pour éviter les reflets 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4° La disposition du clavier et les caractéristiques des touches tendent à faciliter son utilisation 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5° Les symboles des touches sont suffisamment contrastés et lisibles à partir de la position de travail normale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