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Descriptif de l’offre et fonctionnalités</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PadTouch est un produit visant à proposer un nouveau type d’interface pour votre ordinateur. Il s’agit d’une interface homme-machine intuitive, entièrement modulable et personnalisable.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Notre produit est constitué de différents composants, disposés à la guise de l’utilisateur par des accroches magnétiques, de la même manière que des briques Lego®. Le composant central, le coeur, se relie à l’ordinateur par un câble USB. L’utilisateur peut y accrocher ensuite les autres modules, dans la disposition qu’il souhaite. Ces modules peuvent être de différents types : boutons, curseurs linéaires (</w:t>
      </w:r>
      <w:r w:rsidDel="00000000" w:rsidR="00000000" w:rsidRPr="00000000">
        <w:rPr>
          <w:i w:val="1"/>
          <w:rtl w:val="0"/>
        </w:rPr>
        <w:t xml:space="preserve">ou sliders)</w:t>
      </w:r>
      <w:r w:rsidDel="00000000" w:rsidR="00000000" w:rsidRPr="00000000">
        <w:rPr>
          <w:rtl w:val="0"/>
        </w:rPr>
        <w:t xml:space="preserve">, ou potentiomètres. Un grand nombre de module est envisageable.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L’utilisateur peut ensuite utiliser un logiciel fourni avec notre produit afin de configurer les actions associés à chaque module. Ces actions peuvent être primitives, ie. simuler l’appui d’une touche de clavier, ou plus complexes, comme ouvrir un programme. Enfin, l’utilisateur pourra aisément utiliser son PadTouch sur un autre ordinateur en utilisant la fonctionnalité PadTouch Cloud, lui permettant de sauvegarder sa configuration sur nos serveurs.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Notre produit s’adapte à chaque utilisateur et à ses besoins. Il s’agit d’un véritable outil pour améliorer la productivité tout en proposant une interface ergonomique (pour éviter les troubles musculo-squelettiques) et accessible.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color w:val="3c78d8"/>
      <w:sz w:val="40"/>
      <w:szCs w:val="40"/>
    </w:rPr>
  </w:style>
  <w:style w:type="paragraph" w:styleId="Heading2">
    <w:name w:val="heading 2"/>
    <w:basedOn w:val="Normal"/>
    <w:next w:val="Normal"/>
    <w:pPr>
      <w:keepNext w:val="1"/>
      <w:keepLines w:val="1"/>
      <w:spacing w:after="120" w:before="360" w:lineRule="auto"/>
    </w:pPr>
    <w:rPr>
      <w:color w:val="6d9eeb"/>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