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0D1B3E"/>
          <w:sz w:val="96"/>
          <w:szCs w:val="96"/>
        </w:rPr>
        <w:t xml:space="preserve">VELIXA</w:t>
      </w:r>
    </w:p>
    <w:p>
      <w:pPr>
        <w:jc w:val="center"/>
      </w:pPr>
      <w:r>
        <w:rPr>
          <w:rFonts w:ascii="Arial" w:cs="Arial" w:eastAsia="Arial" w:hAnsi="Arial"/>
          <w:i/>
          <w:iCs/>
          <w:color w:val="0F7A56"/>
          <w:sz w:val="36"/>
          <w:szCs w:val="36"/>
        </w:rPr>
        <w:t xml:space="preserve">Governing AI with Confidence</w:t>
      </w:r>
    </w:p>
    <w:p>
      <w:pPr>
        <w:spacing w:after="200" w:before="200"/>
        <w:jc w:val="center"/>
      </w:pPr>
      <w:r>
        <w:rPr>
          <w:rFonts w:ascii="Arial" w:cs="Arial" w:eastAsia="Arial" w:hAnsi="Arial"/>
          <w:color w:val="CCCCCC"/>
          <w:sz w:val="18"/>
          <w:szCs w:val="18"/>
        </w:rPr>
        <w:t xml:space="preserve">────────────────────────────────────────────</w:t>
      </w:r>
    </w:p>
    <w:p>
      <w:pPr>
        <w:spacing w:after="120"/>
        <w:jc w:val="center"/>
      </w:pPr>
      <w:r>
        <w:rPr>
          <w:rFonts w:ascii="Arial" w:cs="Arial" w:eastAsia="Arial" w:hAnsi="Arial"/>
          <w:b/>
          <w:bCs/>
          <w:color w:val="1B4F8A"/>
          <w:sz w:val="48"/>
          <w:szCs w:val="48"/>
        </w:rPr>
        <w:t xml:space="preserve">WHITE PAPER</w:t>
      </w:r>
    </w:p>
    <w:p>
      <w:pPr>
        <w:spacing w:after="480"/>
        <w:jc w:val="center"/>
      </w:pPr>
      <w:r>
        <w:rPr>
          <w:rFonts w:ascii="Arial" w:cs="Arial" w:eastAsia="Arial" w:hAnsi="Arial"/>
          <w:i/>
          <w:iCs/>
          <w:color w:val="4A5568"/>
          <w:sz w:val="26"/>
          <w:szCs w:val="26"/>
        </w:rPr>
        <w:t xml:space="preserve">La gouvernance de l'IA comme infrastructure critique d'entreprise</w:t>
      </w:r>
    </w:p>
    <w:p>
      <w:pPr>
        <w:spacing w:after="120"/>
        <w:jc w:val="center"/>
      </w:pPr>
      <w:r>
        <w:rPr>
          <w:rFonts w:ascii="Arial" w:cs="Arial" w:eastAsia="Arial" w:hAnsi="Arial"/>
          <w:color w:val="888888"/>
          <w:sz w:val="20"/>
          <w:szCs w:val="20"/>
        </w:rPr>
        <w:t xml:space="preserve">Version 1.1.0  •  Avril 2026</w:t>
      </w:r>
    </w:p>
    <w:p>
      <w:pPr>
        <w:spacing w:after="120"/>
        <w:jc w:val="center"/>
      </w:pPr>
      <w:r>
        <w:rPr>
          <w:rFonts w:ascii="Arial" w:cs="Arial" w:eastAsia="Arial" w:hAnsi="Arial"/>
          <w:b/>
          <w:bCs/>
          <w:color w:val="0F7A56"/>
          <w:sz w:val="20"/>
          <w:szCs w:val="20"/>
        </w:rPr>
        <w:t xml:space="preserve">Licence AGPL v3 — Open Source</w:t>
      </w:r>
    </w:p>
    <w:p>
      <w:pPr>
        <w:jc w:val="center"/>
      </w:pPr>
      <w:r>
        <w:rPr>
          <w:rFonts w:ascii="Arial" w:cs="Arial" w:eastAsia="Arial" w:hAnsi="Arial"/>
          <w:color w:val="AAAAAA"/>
          <w:sz w:val="18"/>
          <w:szCs w:val="18"/>
        </w:rPr>
        <w:t xml:space="preserve">Déploiement On-Premise  •  Air-Gap compatible  •  RGPD  •  NIS2  •  EU AI Act</w:t>
      </w:r>
    </w:p>
    <w:p>
      <w:pPr>
        <w:spacing w:before="800"/>
      </w:pPr>
      <w:r>
        <w:br w:type="page"/>
      </w:r>
    </w:p>
    <w:p>
      <w:pPr>
        <w:pStyle w:val="Heading1"/>
        <w:spacing w:after="200" w:before="480"/>
      </w:pPr>
      <w:r>
        <w:rPr>
          <w:rFonts w:ascii="Arial" w:cs="Arial" w:eastAsia="Arial" w:hAnsi="Arial"/>
          <w:b/>
          <w:bCs/>
          <w:color w:val="1B4F8A"/>
          <w:sz w:val="36"/>
          <w:szCs w:val="36"/>
        </w:rPr>
        <w:t xml:space="preserve">Résumé exécutif</w:t>
      </w:r>
    </w:p>
    <w:p>
      <w:pPr>
        <w:spacing w:after="140" w:line="340"/>
        <w:jc w:val="both"/>
      </w:pPr>
      <w:r>
        <w:rPr>
          <w:rFonts w:ascii="Arial" w:cs="Arial" w:eastAsia="Arial" w:hAnsi="Arial"/>
          <w:b w:val="false"/>
          <w:bCs w:val="false"/>
          <w:i w:val="false"/>
          <w:iCs w:val="false"/>
          <w:color w:val="1A1A2E"/>
          <w:sz w:val="21"/>
          <w:szCs w:val="21"/>
        </w:rPr>
        <w:t xml:space="preserve">L'intelligence artificielle est en train de transformer chaque dimension de l'entreprise moderne. En 2026, plus de 72 % des organisations européennes utilisent au moins un outil IA en production — agents conversationnels, systèmes de recommandation, automatisation de processus, assistance à la décision. Cette adoption massive s'accompagne d'un paradoxe fondamental : plus les systèmes IA sont puissants et intégrés, plus les risques de fuite de données, de non-conformité réglementaire et de perte de contrôle augmentent.</w:t>
      </w:r>
    </w:p>
    <w:p>
      <w:pPr>
        <w:spacing w:after="140" w:line="340"/>
        <w:jc w:val="both"/>
      </w:pPr>
      <w:r>
        <w:rPr>
          <w:rFonts w:ascii="Arial" w:cs="Arial" w:eastAsia="Arial" w:hAnsi="Arial"/>
          <w:b w:val="false"/>
          <w:bCs w:val="false"/>
          <w:i w:val="false"/>
          <w:iCs w:val="false"/>
          <w:color w:val="1A1A2E"/>
          <w:sz w:val="21"/>
          <w:szCs w:val="21"/>
        </w:rPr>
        <w:t xml:space="preserve">Face à cela, les entreprises disposent aujourd'hui de deux options : ignorer le problème en espérant ne pas être contrôlées, ou investir dans des solutions de gouvernance coûteuses, complexes et souvent inadaptées à leur taille réelle.</w:t>
      </w:r>
    </w:p>
    <w:p>
      <w:pPr>
        <w:spacing w:after="140" w:line="340"/>
        <w:jc w:val="both"/>
      </w:pPr>
      <w:r>
        <w:rPr>
          <w:rFonts w:ascii="Arial" w:cs="Arial" w:eastAsia="Arial" w:hAnsi="Arial"/>
          <w:b w:val="false"/>
          <w:bCs w:val="false"/>
          <w:i w:val="false"/>
          <w:iCs w:val="false"/>
          <w:color w:val="1A1A2E"/>
          <w:sz w:val="21"/>
          <w:szCs w:val="21"/>
        </w:rPr>
        <w:t xml:space="preserve">Velixa propose une troisième voie.</w:t>
      </w:r>
    </w:p>
    <w:p>
      <w:pPr>
        <w:pBdr>
          <w:left w:val="single" w:color="0F7A56" w:sz="20" w:space="12"/>
        </w:pBdr>
        <w:spacing w:after="240" w:before="240"/>
        <w:ind w:left="480" w:right="480"/>
      </w:pPr>
      <w:r>
        <w:rPr>
          <w:rFonts w:ascii="Arial" w:cs="Arial" w:eastAsia="Arial" w:hAnsi="Arial"/>
          <w:b/>
          <w:bCs/>
          <w:i/>
          <w:iCs/>
          <w:color w:val="0D1B3E"/>
          <w:sz w:val="24"/>
          <w:szCs w:val="24"/>
        </w:rPr>
        <w:t xml:space="preserve">Velixa est la première solution de gouvernance IA open-source, déployable en heures, sans cloud, sans abonnement, fonctionnant en air-gap total — conçue pour que chaque entreprise, quelle que soit sa taille, puisse gouverner ses usages IA avec confiance.</w:t>
      </w:r>
    </w:p>
    <w:p>
      <w:pPr>
        <w:spacing w:after="140" w:line="340"/>
        <w:jc w:val="both"/>
      </w:pPr>
      <w:r>
        <w:rPr>
          <w:rFonts w:ascii="Arial" w:cs="Arial" w:eastAsia="Arial" w:hAnsi="Arial"/>
          <w:b w:val="false"/>
          <w:bCs w:val="false"/>
          <w:i w:val="false"/>
          <w:iCs w:val="false"/>
          <w:color w:val="1A1A2E"/>
          <w:sz w:val="21"/>
          <w:szCs w:val="21"/>
        </w:rPr>
        <w:t xml:space="preserve">Ce white paper expose les fondements du problème, l'architecture de la solution, et la vision d'un écosystème de gouvernance IA qui deviendra une infrastructure aussi indispensable que le firewall réseau.</w:t>
      </w:r>
    </w:p>
    <w:p>
      <w:r>
        <w:br w:type="page"/>
      </w:r>
    </w:p>
    <w:p>
      <w:pPr>
        <w:pStyle w:val="Heading1"/>
        <w:spacing w:after="200" w:before="480"/>
      </w:pPr>
      <w:r>
        <w:rPr>
          <w:rFonts w:ascii="Arial" w:cs="Arial" w:eastAsia="Arial" w:hAnsi="Arial"/>
          <w:b/>
          <w:bCs/>
          <w:color w:val="1B4F8A"/>
          <w:sz w:val="36"/>
          <w:szCs w:val="36"/>
        </w:rPr>
        <w:t xml:space="preserve">1. Le problème : l'IA sans gouvernance est un risque systémique</w:t>
      </w:r>
    </w:p>
    <w:p>
      <w:pPr>
        <w:pStyle w:val="Heading2"/>
        <w:spacing w:after="140" w:before="320"/>
      </w:pPr>
      <w:r>
        <w:rPr>
          <w:rFonts w:ascii="Arial" w:cs="Arial" w:eastAsia="Arial" w:hAnsi="Arial"/>
          <w:b/>
          <w:bCs/>
          <w:color w:val="0D1B3E"/>
          <w:sz w:val="26"/>
          <w:szCs w:val="26"/>
        </w:rPr>
        <w:t xml:space="preserve">1.1 Une adoption massive et incontrôlée</w:t>
      </w:r>
    </w:p>
    <w:p>
      <w:pPr>
        <w:spacing w:after="140" w:line="340"/>
        <w:jc w:val="both"/>
      </w:pPr>
      <w:r>
        <w:rPr>
          <w:rFonts w:ascii="Arial" w:cs="Arial" w:eastAsia="Arial" w:hAnsi="Arial"/>
          <w:b w:val="false"/>
          <w:bCs w:val="false"/>
          <w:i w:val="false"/>
          <w:iCs w:val="false"/>
          <w:color w:val="1A1A2E"/>
          <w:sz w:val="21"/>
          <w:szCs w:val="21"/>
        </w:rPr>
        <w:t xml:space="preserve">En moins de trois ans, l'IA générative est passée du laboratoire de recherche à la réalité quotidienne des entreprises. ChatGPT, Claude, Gemini, Copilot — ces outils sont utilisés chaque jour par des millions d'employés en Europe pour rédiger des emails, analyser des contrats, résumer des rapports, coder des applications, traduire des documents.</w:t>
      </w:r>
    </w:p>
    <w:p>
      <w:pPr>
        <w:spacing w:after="140" w:line="340"/>
        <w:jc w:val="both"/>
      </w:pPr>
      <w:r>
        <w:rPr>
          <w:rFonts w:ascii="Arial" w:cs="Arial" w:eastAsia="Arial" w:hAnsi="Arial"/>
          <w:b w:val="false"/>
          <w:bCs w:val="false"/>
          <w:i w:val="false"/>
          <w:iCs w:val="false"/>
          <w:color w:val="1A1A2E"/>
          <w:sz w:val="21"/>
          <w:szCs w:val="21"/>
        </w:rPr>
        <w:t xml:space="preserve">Le problème n'est pas l'usage de l'IA. Le problème est que cet usage se fait, dans la grande majorité des cas, sans aucun contrôle, sans aucune traçabilité, et sans aucune conscience des données qui transitent vers des serveurs situés hors de l'Union européenne.</w:t>
      </w:r>
    </w:p>
    <w:p>
      <w:pPr>
        <w:pBdr>
          <w:left w:val="single" w:color="B7791F" w:sz="20"/>
        </w:pBdr>
        <w:shd w:fill="FFF8E8" w:val="clear"/>
        <w:spacing w:after="0" w:before="200"/>
      </w:pPr>
      <w:r>
        <w:rPr>
          <w:rFonts w:ascii="Arial" w:cs="Arial" w:eastAsia="Arial" w:hAnsi="Arial"/>
          <w:b/>
          <w:bCs/>
          <w:color w:val="B7791F"/>
          <w:sz w:val="21"/>
          <w:szCs w:val="21"/>
        </w:rPr>
        <w:t xml:space="preserve">   Ce que vos employés envoient probablement aujourd'hui vers des LLM externes</w:t>
      </w:r>
    </w:p>
    <w:p>
      <w:pPr>
        <w:pBdr>
          <w:left w:val="single" w:color="B7791F" w:sz="20"/>
        </w:pBdr>
        <w:shd w:fill="FFF8E8" w:val="clear"/>
        <w:spacing w:after="40"/>
      </w:pPr>
      <w:r>
        <w:rPr>
          <w:rFonts w:ascii="Arial" w:cs="Arial" w:eastAsia="Arial" w:hAnsi="Arial"/>
          <w:color w:val="1A1A2E"/>
          <w:sz w:val="20"/>
          <w:szCs w:val="20"/>
        </w:rPr>
        <w:t xml:space="preserve">   ▸ Des emails clients avec noms, adresses, numéros de téléphone</w:t>
      </w:r>
    </w:p>
    <w:p>
      <w:pPr>
        <w:pBdr>
          <w:left w:val="single" w:color="B7791F" w:sz="20"/>
        </w:pBdr>
        <w:shd w:fill="FFF8E8" w:val="clear"/>
        <w:spacing w:after="40"/>
      </w:pPr>
      <w:r>
        <w:rPr>
          <w:rFonts w:ascii="Arial" w:cs="Arial" w:eastAsia="Arial" w:hAnsi="Arial"/>
          <w:color w:val="1A1A2E"/>
          <w:sz w:val="20"/>
          <w:szCs w:val="20"/>
        </w:rPr>
        <w:t xml:space="preserve">   ▸ Des contrats avec montants, clauses confidentielles, noms de fournisseurs</w:t>
      </w:r>
    </w:p>
    <w:p>
      <w:pPr>
        <w:pBdr>
          <w:left w:val="single" w:color="B7791F" w:sz="20"/>
        </w:pBdr>
        <w:shd w:fill="FFF8E8" w:val="clear"/>
        <w:spacing w:after="40"/>
      </w:pPr>
      <w:r>
        <w:rPr>
          <w:rFonts w:ascii="Arial" w:cs="Arial" w:eastAsia="Arial" w:hAnsi="Arial"/>
          <w:color w:val="1A1A2E"/>
          <w:sz w:val="20"/>
          <w:szCs w:val="20"/>
        </w:rPr>
        <w:t xml:space="preserve">   ▸ Des données RH : salaires, évaluations, situations personnelles</w:t>
      </w:r>
    </w:p>
    <w:p>
      <w:pPr>
        <w:pBdr>
          <w:left w:val="single" w:color="B7791F" w:sz="20"/>
        </w:pBdr>
        <w:shd w:fill="FFF8E8" w:val="clear"/>
        <w:spacing w:after="40"/>
      </w:pPr>
      <w:r>
        <w:rPr>
          <w:rFonts w:ascii="Arial" w:cs="Arial" w:eastAsia="Arial" w:hAnsi="Arial"/>
          <w:color w:val="1A1A2E"/>
          <w:sz w:val="20"/>
          <w:szCs w:val="20"/>
        </w:rPr>
        <w:t xml:space="preserve">   ▸ Du code source propriétaire pour demander de l'aide au débogage</w:t>
      </w:r>
    </w:p>
    <w:p>
      <w:pPr>
        <w:pBdr>
          <w:left w:val="single" w:color="B7791F" w:sz="20"/>
        </w:pBdr>
        <w:shd w:fill="FFF8E8" w:val="clear"/>
        <w:spacing w:after="40"/>
      </w:pPr>
      <w:r>
        <w:rPr>
          <w:rFonts w:ascii="Arial" w:cs="Arial" w:eastAsia="Arial" w:hAnsi="Arial"/>
          <w:color w:val="1A1A2E"/>
          <w:sz w:val="20"/>
          <w:szCs w:val="20"/>
        </w:rPr>
        <w:t xml:space="preserve">   ▸ Des données financières : marges, prévisions, IBAN</w:t>
      </w:r>
    </w:p>
    <w:p>
      <w:pPr>
        <w:pBdr>
          <w:left w:val="single" w:color="B7791F" w:sz="20"/>
        </w:pBdr>
        <w:shd w:fill="FFF8E8" w:val="clear"/>
        <w:spacing w:after="40"/>
      </w:pPr>
      <w:r>
        <w:rPr>
          <w:rFonts w:ascii="Arial" w:cs="Arial" w:eastAsia="Arial" w:hAnsi="Arial"/>
          <w:color w:val="1A1A2E"/>
          <w:sz w:val="20"/>
          <w:szCs w:val="20"/>
        </w:rPr>
        <w:t xml:space="preserve">   ▸ Des mots de passe et credentials par inadvertance</w:t>
      </w:r>
    </w:p>
    <w:p>
      <w:pPr>
        <w:pBdr>
          <w:left w:val="single" w:color="B7791F" w:sz="20"/>
        </w:pBdr>
        <w:shd w:fill="FFF8E8" w:val="clear"/>
        <w:spacing w:after="40"/>
      </w:pPr>
      <w:r>
        <w:rPr>
          <w:rFonts w:ascii="Arial" w:cs="Arial" w:eastAsia="Arial" w:hAnsi="Arial"/>
          <w:color w:val="1A1A2E"/>
          <w:sz w:val="20"/>
          <w:szCs w:val="20"/>
        </w:rPr>
        <w:t xml:space="preserve">   ▸ Des données de santé dans des contextes hospitaliers ou RH</w:t>
      </w:r>
    </w:p>
    <w:p>
      <w:pPr>
        <w:pBdr>
          <w:left w:val="single" w:color="B7791F" w:sz="20"/>
        </w:pBdr>
        <w:shd w:fill="FFF8E8" w:val="clear"/>
        <w:spacing w:after="60"/>
      </w:pPr>
      <w:r>
        <w:rPr>
          <w:rFonts w:ascii="Arial" w:cs="Arial" w:eastAsia="Arial" w:hAnsi="Arial"/>
          <w:color w:val="1A1A2E"/>
          <w:sz w:val="20"/>
          <w:szCs w:val="20"/>
        </w:rPr>
        <w:t xml:space="preserve">   </w:t>
      </w:r>
    </w:p>
    <w:p>
      <w:pPr>
        <w:pBdr>
          <w:left w:val="single" w:color="B7791F" w:sz="20"/>
        </w:pBdr>
        <w:shd w:fill="FFF8E8" w:val="clear"/>
        <w:spacing w:after="40"/>
      </w:pPr>
      <w:r>
        <w:rPr>
          <w:rFonts w:ascii="Arial" w:cs="Arial" w:eastAsia="Arial" w:hAnsi="Arial"/>
          <w:color w:val="1A1A2E"/>
          <w:sz w:val="20"/>
          <w:szCs w:val="20"/>
        </w:rPr>
        <w:t xml:space="preserve">   Chacune de ces actions est potentiellement une violation du RGPD, de NIS2,</w:t>
      </w:r>
    </w:p>
    <w:p>
      <w:pPr>
        <w:pBdr>
          <w:left w:val="single" w:color="B7791F" w:sz="20"/>
        </w:pBdr>
        <w:shd w:fill="FFF8E8" w:val="clear"/>
        <w:spacing w:after="40"/>
      </w:pPr>
      <w:r>
        <w:rPr>
          <w:rFonts w:ascii="Arial" w:cs="Arial" w:eastAsia="Arial" w:hAnsi="Arial"/>
          <w:color w:val="1A1A2E"/>
          <w:sz w:val="20"/>
          <w:szCs w:val="20"/>
        </w:rPr>
        <w:t xml:space="preserve">   ou de vos obligations contractuelles de confidentialité — sans que personne ne le sache.</w:t>
      </w:r>
    </w:p>
    <w:p>
      <w:pPr>
        <w:spacing w:after="200"/>
      </w:pPr>
    </w:p>
    <w:p>
      <w:pPr>
        <w:pStyle w:val="Heading2"/>
        <w:spacing w:after="140" w:before="320"/>
      </w:pPr>
      <w:r>
        <w:rPr>
          <w:rFonts w:ascii="Arial" w:cs="Arial" w:eastAsia="Arial" w:hAnsi="Arial"/>
          <w:b/>
          <w:bCs/>
          <w:color w:val="0D1B3E"/>
          <w:sz w:val="26"/>
          <w:szCs w:val="26"/>
        </w:rPr>
        <w:t xml:space="preserve">1.2 Un cadre réglementaire qui se durcit</w:t>
      </w:r>
    </w:p>
    <w:p>
      <w:pPr>
        <w:spacing w:after="140" w:line="340"/>
        <w:jc w:val="both"/>
      </w:pPr>
      <w:r>
        <w:rPr>
          <w:rFonts w:ascii="Arial" w:cs="Arial" w:eastAsia="Arial" w:hAnsi="Arial"/>
          <w:b w:val="false"/>
          <w:bCs w:val="false"/>
          <w:i w:val="false"/>
          <w:iCs w:val="false"/>
          <w:color w:val="1A1A2E"/>
          <w:sz w:val="21"/>
          <w:szCs w:val="21"/>
        </w:rPr>
        <w:t xml:space="preserve">Le contexte réglementaire européen n'a jamais été aussi exigeant pour les usages IA en entreprise. Trois textes majeurs sont désormais applicables ou en cours d'application :</w:t>
      </w:r>
    </w:p>
    <w:p>
      <w:pPr>
        <w:pBdr>
          <w:left w:val="single" w:color="1B4F8A" w:sz="20"/>
        </w:pBdr>
        <w:shd w:fill="EBF3FB" w:val="clear"/>
        <w:spacing w:after="0" w:before="200"/>
      </w:pPr>
      <w:r>
        <w:rPr>
          <w:rFonts w:ascii="Arial" w:cs="Arial" w:eastAsia="Arial" w:hAnsi="Arial"/>
          <w:b/>
          <w:bCs/>
          <w:color w:val="1B4F8A"/>
          <w:sz w:val="21"/>
          <w:szCs w:val="21"/>
        </w:rPr>
        <w:t xml:space="preserve">   Les trois piliers réglementaires européens de l'IA</w:t>
      </w:r>
    </w:p>
    <w:p>
      <w:pPr>
        <w:pBdr>
          <w:left w:val="single" w:color="1B4F8A" w:sz="20"/>
        </w:pBdr>
        <w:shd w:fill="EBF3FB" w:val="clear"/>
        <w:spacing w:after="40"/>
      </w:pPr>
      <w:r>
        <w:rPr>
          <w:rFonts w:ascii="Arial" w:cs="Arial" w:eastAsia="Arial" w:hAnsi="Arial"/>
          <w:color w:val="1A1A2E"/>
          <w:sz w:val="20"/>
          <w:szCs w:val="20"/>
        </w:rPr>
        <w:t xml:space="preserve">   RGPD (2018, applicable) — Toute donnée personnelle traitée par un LLM externe constitue</w:t>
      </w:r>
    </w:p>
    <w:p>
      <w:pPr>
        <w:pBdr>
          <w:left w:val="single" w:color="1B4F8A" w:sz="20"/>
        </w:pBdr>
        <w:shd w:fill="EBF3FB" w:val="clear"/>
        <w:spacing w:after="40"/>
      </w:pPr>
      <w:r>
        <w:rPr>
          <w:rFonts w:ascii="Arial" w:cs="Arial" w:eastAsia="Arial" w:hAnsi="Arial"/>
          <w:color w:val="1A1A2E"/>
          <w:sz w:val="20"/>
          <w:szCs w:val="20"/>
        </w:rPr>
        <w:t xml:space="preserve">   un traitement au sens du RGPD. Absence de base légale, transfert hors UE, absence de DPA</w:t>
      </w:r>
    </w:p>
    <w:p>
      <w:pPr>
        <w:pBdr>
          <w:left w:val="single" w:color="1B4F8A" w:sz="20"/>
        </w:pBdr>
        <w:shd w:fill="EBF3FB" w:val="clear"/>
        <w:spacing w:after="40"/>
      </w:pPr>
      <w:r>
        <w:rPr>
          <w:rFonts w:ascii="Arial" w:cs="Arial" w:eastAsia="Arial" w:hAnsi="Arial"/>
          <w:color w:val="1A1A2E"/>
          <w:sz w:val="20"/>
          <w:szCs w:val="20"/>
        </w:rPr>
        <w:t xml:space="preserve">   avec le fournisseur LLM — autant de violations potentielles. Amende : jusqu'à 20M€ ou 4% CA.</w:t>
      </w:r>
    </w:p>
    <w:p>
      <w:pPr>
        <w:pBdr>
          <w:left w:val="single" w:color="1B4F8A" w:sz="20"/>
        </w:pBdr>
        <w:shd w:fill="EBF3FB" w:val="clear"/>
        <w:spacing w:after="60"/>
      </w:pPr>
      <w:r>
        <w:rPr>
          <w:rFonts w:ascii="Arial" w:cs="Arial" w:eastAsia="Arial" w:hAnsi="Arial"/>
          <w:color w:val="1A1A2E"/>
          <w:sz w:val="20"/>
          <w:szCs w:val="20"/>
        </w:rPr>
        <w:t xml:space="preserve">   </w:t>
      </w:r>
    </w:p>
    <w:p>
      <w:pPr>
        <w:pBdr>
          <w:left w:val="single" w:color="1B4F8A" w:sz="20"/>
        </w:pBdr>
        <w:shd w:fill="EBF3FB" w:val="clear"/>
        <w:spacing w:after="40"/>
      </w:pPr>
      <w:r>
        <w:rPr>
          <w:rFonts w:ascii="Arial" w:cs="Arial" w:eastAsia="Arial" w:hAnsi="Arial"/>
          <w:color w:val="1A1A2E"/>
          <w:sz w:val="20"/>
          <w:szCs w:val="20"/>
        </w:rPr>
        <w:t xml:space="preserve">   NIS2 (2024, transposée) — Les entreprises des secteurs essentiels ont une obligation de</w:t>
      </w:r>
    </w:p>
    <w:p>
      <w:pPr>
        <w:pBdr>
          <w:left w:val="single" w:color="1B4F8A" w:sz="20"/>
        </w:pBdr>
        <w:shd w:fill="EBF3FB" w:val="clear"/>
        <w:spacing w:after="40"/>
      </w:pPr>
      <w:r>
        <w:rPr>
          <w:rFonts w:ascii="Arial" w:cs="Arial" w:eastAsia="Arial" w:hAnsi="Arial"/>
          <w:color w:val="1A1A2E"/>
          <w:sz w:val="20"/>
          <w:szCs w:val="20"/>
        </w:rPr>
        <w:t xml:space="preserve">   sécuriser leur chaîne d'approvisionnement, y compris les fournisseurs IA. L'absence de</w:t>
      </w:r>
    </w:p>
    <w:p>
      <w:pPr>
        <w:pBdr>
          <w:left w:val="single" w:color="1B4F8A" w:sz="20"/>
        </w:pBdr>
        <w:shd w:fill="EBF3FB" w:val="clear"/>
        <w:spacing w:after="40"/>
      </w:pPr>
      <w:r>
        <w:rPr>
          <w:rFonts w:ascii="Arial" w:cs="Arial" w:eastAsia="Arial" w:hAnsi="Arial"/>
          <w:color w:val="1A1A2E"/>
          <w:sz w:val="20"/>
          <w:szCs w:val="20"/>
        </w:rPr>
        <w:t xml:space="preserve">   contrôle sur les appels IA externes peut être qualifiée de défaillance de sécurité.</w:t>
      </w:r>
    </w:p>
    <w:p>
      <w:pPr>
        <w:pBdr>
          <w:left w:val="single" w:color="1B4F8A" w:sz="20"/>
        </w:pBdr>
        <w:shd w:fill="EBF3FB" w:val="clear"/>
        <w:spacing w:after="60"/>
      </w:pPr>
      <w:r>
        <w:rPr>
          <w:rFonts w:ascii="Arial" w:cs="Arial" w:eastAsia="Arial" w:hAnsi="Arial"/>
          <w:color w:val="1A1A2E"/>
          <w:sz w:val="20"/>
          <w:szCs w:val="20"/>
        </w:rPr>
        <w:t xml:space="preserve">   </w:t>
      </w:r>
    </w:p>
    <w:p>
      <w:pPr>
        <w:pBdr>
          <w:left w:val="single" w:color="1B4F8A" w:sz="20"/>
        </w:pBdr>
        <w:shd w:fill="EBF3FB" w:val="clear"/>
        <w:spacing w:after="40"/>
      </w:pPr>
      <w:r>
        <w:rPr>
          <w:rFonts w:ascii="Arial" w:cs="Arial" w:eastAsia="Arial" w:hAnsi="Arial"/>
          <w:color w:val="1A1A2E"/>
          <w:sz w:val="20"/>
          <w:szCs w:val="20"/>
        </w:rPr>
        <w:t xml:space="preserve">   EU AI Act (2024-2026, application progressive) — Premier texte mondial dédié à l'IA.</w:t>
      </w:r>
    </w:p>
    <w:p>
      <w:pPr>
        <w:pBdr>
          <w:left w:val="single" w:color="1B4F8A" w:sz="20"/>
        </w:pBdr>
        <w:shd w:fill="EBF3FB" w:val="clear"/>
        <w:spacing w:after="40"/>
      </w:pPr>
      <w:r>
        <w:rPr>
          <w:rFonts w:ascii="Arial" w:cs="Arial" w:eastAsia="Arial" w:hAnsi="Arial"/>
          <w:color w:val="1A1A2E"/>
          <w:sz w:val="20"/>
          <w:szCs w:val="20"/>
        </w:rPr>
        <w:t xml:space="preserve">   Obligations de transparence, de supervision humaine, de registre des systèmes IA,</w:t>
      </w:r>
    </w:p>
    <w:p>
      <w:pPr>
        <w:pBdr>
          <w:left w:val="single" w:color="1B4F8A" w:sz="20"/>
        </w:pBdr>
        <w:shd w:fill="EBF3FB" w:val="clear"/>
        <w:spacing w:after="40"/>
      </w:pPr>
      <w:r>
        <w:rPr>
          <w:rFonts w:ascii="Arial" w:cs="Arial" w:eastAsia="Arial" w:hAnsi="Arial"/>
          <w:color w:val="1A1A2E"/>
          <w:sz w:val="20"/>
          <w:szCs w:val="20"/>
        </w:rPr>
        <w:t xml:space="preserve">   d'interdiction de certaines pratiques. Amende : jusqu'à 35M€ ou 7% CA pour les violations graves.</w:t>
      </w:r>
    </w:p>
    <w:p>
      <w:pPr>
        <w:spacing w:after="200"/>
      </w:pPr>
    </w:p>
    <w:p>
      <w:pPr>
        <w:pStyle w:val="Heading2"/>
        <w:spacing w:after="140" w:before="320"/>
      </w:pPr>
      <w:r>
        <w:rPr>
          <w:rFonts w:ascii="Arial" w:cs="Arial" w:eastAsia="Arial" w:hAnsi="Arial"/>
          <w:b/>
          <w:bCs/>
          <w:color w:val="0D1B3E"/>
          <w:sz w:val="26"/>
          <w:szCs w:val="26"/>
        </w:rPr>
        <w:t xml:space="preserve">1.3 Les solutions existantes sont inadaptées aux PME et ETI</w:t>
      </w:r>
    </w:p>
    <w:p>
      <w:pPr>
        <w:spacing w:after="140" w:line="340"/>
        <w:jc w:val="both"/>
      </w:pPr>
      <w:r>
        <w:rPr>
          <w:rFonts w:ascii="Arial" w:cs="Arial" w:eastAsia="Arial" w:hAnsi="Arial"/>
          <w:b w:val="false"/>
          <w:bCs w:val="false"/>
          <w:i w:val="false"/>
          <w:iCs w:val="false"/>
          <w:color w:val="1A1A2E"/>
          <w:sz w:val="21"/>
          <w:szCs w:val="21"/>
        </w:rPr>
        <w:t xml:space="preserve">Les grandes entreprises disposent de Microsoft Purview, de Palo Alto AI Access Security, de solutions d'architecture complexes nécessitant des équipes dédiées et des budgets de plusieurs centaines de milliers d'euros. Ces outils sont réels et efficaces — pour les organisations qui peuvent se les offrir.</w:t>
      </w:r>
    </w:p>
    <w:p>
      <w:pPr>
        <w:spacing w:after="140" w:line="340"/>
        <w:jc w:val="both"/>
      </w:pPr>
      <w:r>
        <w:rPr>
          <w:rFonts w:ascii="Arial" w:cs="Arial" w:eastAsia="Arial" w:hAnsi="Arial"/>
          <w:b w:val="false"/>
          <w:bCs w:val="false"/>
          <w:i w:val="false"/>
          <w:iCs w:val="false"/>
          <w:color w:val="1A1A2E"/>
          <w:sz w:val="21"/>
          <w:szCs w:val="21"/>
        </w:rPr>
        <w:t xml:space="preserve">Pour les 99 % des entreprises européennes — PME, ETI, secteur public, associations — ces solutions sont hors de portée. Elles se retrouvent dans un vide dangereux : conscientes du risque mais sans outil adapté à leur taille, leur budget, et leur maturité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Critère</w:t>
            </w:r>
          </w:p>
        </w:tc>
        <w:tc>
          <w:tcPr>
            <w:tcW w:type="dxa" w:w="348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Solutions enterprise (Purview, Plevoo...)</w:t>
            </w:r>
          </w:p>
        </w:tc>
        <w:tc>
          <w:tcPr>
            <w:tcW w:type="dxa" w:w="328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Velixa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Déploiement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Semaines à mois, équipe dédiée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&lt; 2 heures, un administrateur</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Coût</w:t>
            </w:r>
          </w:p>
        </w:tc>
        <w:tc>
          <w:tcPr>
            <w:tcW w:type="dxa" w:w="34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50 000€ - 500 000€ / an</w:t>
            </w:r>
          </w:p>
        </w:tc>
        <w:tc>
          <w:tcPr>
            <w:tcW w:type="dxa" w:w="32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Gratuit (AGPL v3)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Infrastructure requise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Azure, cloud, VPN, agents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XAMPP ou Apache — 1 serveur</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Données sortantes</w:t>
            </w:r>
          </w:p>
        </w:tc>
        <w:tc>
          <w:tcPr>
            <w:tcW w:type="dxa" w:w="34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Transitent par le cloud éditeur</w:t>
            </w:r>
          </w:p>
        </w:tc>
        <w:tc>
          <w:tcPr>
            <w:tcW w:type="dxa" w:w="32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Jamais — 100% on-premise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Air-gap</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Non</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Oui — mode souveraineté totale</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LDAP / AD</w:t>
            </w:r>
          </w:p>
        </w:tc>
        <w:tc>
          <w:tcPr>
            <w:tcW w:type="dxa" w:w="34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Optionnel et complexe</w:t>
            </w:r>
          </w:p>
        </w:tc>
        <w:tc>
          <w:tcPr>
            <w:tcW w:type="dxa" w:w="32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Natif et simple à configurer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Rapport EU AI Act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Option enterprise coûteuse</w:t>
            </w:r>
          </w:p>
        </w:tc>
        <w:tc>
          <w:tcPr>
            <w:tcW w:type="dxa" w:w="32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Inclus et automatique</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IA locale confidentielle</w:t>
            </w:r>
          </w:p>
        </w:tc>
        <w:tc>
          <w:tcPr>
            <w:tcW w:type="dxa" w:w="34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Non</w:t>
            </w:r>
          </w:p>
        </w:tc>
        <w:tc>
          <w:tcPr>
            <w:tcW w:type="dxa" w:w="328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phi3:mini via Ollama</w:t>
            </w:r>
          </w:p>
        </w:tc>
      </w:tr>
    </w:tbl>
    <w:p>
      <w:r>
        <w:br w:type="page"/>
      </w:r>
    </w:p>
    <w:p>
      <w:pPr>
        <w:pStyle w:val="Heading1"/>
        <w:spacing w:after="200" w:before="480"/>
      </w:pPr>
      <w:r>
        <w:rPr>
          <w:rFonts w:ascii="Arial" w:cs="Arial" w:eastAsia="Arial" w:hAnsi="Arial"/>
          <w:b/>
          <w:bCs/>
          <w:color w:val="1B4F8A"/>
          <w:sz w:val="36"/>
          <w:szCs w:val="36"/>
        </w:rPr>
        <w:t xml:space="preserve">2. La solution Velixa : la gouvernance IA comme couche d'infrastructure</w:t>
      </w:r>
    </w:p>
    <w:p>
      <w:pPr>
        <w:pStyle w:val="Heading2"/>
        <w:spacing w:after="140" w:before="320"/>
      </w:pPr>
      <w:r>
        <w:rPr>
          <w:rFonts w:ascii="Arial" w:cs="Arial" w:eastAsia="Arial" w:hAnsi="Arial"/>
          <w:b/>
          <w:bCs/>
          <w:color w:val="0D1B3E"/>
          <w:sz w:val="26"/>
          <w:szCs w:val="26"/>
        </w:rPr>
        <w:t xml:space="preserve">2.1 Le principe fondateur</w:t>
      </w:r>
    </w:p>
    <w:p>
      <w:pPr>
        <w:spacing w:after="140" w:line="340"/>
        <w:jc w:val="both"/>
      </w:pPr>
      <w:r>
        <w:rPr>
          <w:rFonts w:ascii="Arial" w:cs="Arial" w:eastAsia="Arial" w:hAnsi="Arial"/>
          <w:b w:val="false"/>
          <w:bCs w:val="false"/>
          <w:i w:val="false"/>
          <w:iCs w:val="false"/>
          <w:color w:val="1A1A2E"/>
          <w:sz w:val="21"/>
          <w:szCs w:val="21"/>
        </w:rPr>
        <w:t xml:space="preserve">Velixa part d'un constat simple : la gouvernance de l'IA ne devrait pas être un projet à part entière. Elle devrait être une couche d'infrastructure transparente qui s'intercale entre vos utilisateurs, vos agents, et les LLM externes — comme un firewall réseau s'intercale entre votre réseau interne et Internet.</w:t>
      </w:r>
    </w:p>
    <w:p>
      <w:pPr>
        <w:spacing w:after="140" w:line="340"/>
        <w:jc w:val="both"/>
      </w:pPr>
      <w:r>
        <w:rPr>
          <w:rFonts w:ascii="Arial" w:cs="Arial" w:eastAsia="Arial" w:hAnsi="Arial"/>
          <w:b w:val="false"/>
          <w:bCs w:val="false"/>
          <w:i w:val="false"/>
          <w:iCs w:val="false"/>
          <w:color w:val="1A1A2E"/>
          <w:sz w:val="21"/>
          <w:szCs w:val="21"/>
        </w:rPr>
        <w:t xml:space="preserve">Personne ne se demande si un firewall est « utile ». C'est une infrastructure. Velixa a l'ambition de faire de la gouvernance IA la même évidence.</w:t>
      </w:r>
    </w:p>
    <w:p>
      <w:pPr>
        <w:pBdr>
          <w:left w:val="single" w:color="0F7A56" w:sz="20" w:space="12"/>
        </w:pBdr>
        <w:spacing w:after="240" w:before="240"/>
        <w:ind w:left="480" w:right="480"/>
      </w:pPr>
      <w:r>
        <w:rPr>
          <w:rFonts w:ascii="Arial" w:cs="Arial" w:eastAsia="Arial" w:hAnsi="Arial"/>
          <w:b/>
          <w:bCs/>
          <w:i/>
          <w:iCs/>
          <w:color w:val="0D1B3E"/>
          <w:sz w:val="24"/>
          <w:szCs w:val="24"/>
        </w:rPr>
        <w:t xml:space="preserve">Un firewall analyse chaque paquet réseau. Velixa analyse chaque prompt IA. Les deux protègent des actifs précieux — les données et la réputation de l'entreprise.</w:t>
      </w:r>
    </w:p>
    <w:p>
      <w:pPr>
        <w:pStyle w:val="Heading2"/>
        <w:spacing w:after="140" w:before="320"/>
      </w:pPr>
      <w:r>
        <w:rPr>
          <w:rFonts w:ascii="Arial" w:cs="Arial" w:eastAsia="Arial" w:hAnsi="Arial"/>
          <w:b/>
          <w:bCs/>
          <w:color w:val="0D1B3E"/>
          <w:sz w:val="26"/>
          <w:szCs w:val="26"/>
        </w:rPr>
        <w:t xml:space="preserve">2.2 Architecture — la transparence comme principe de design</w:t>
      </w:r>
    </w:p>
    <w:p>
      <w:pPr>
        <w:spacing w:after="140" w:line="340"/>
        <w:jc w:val="both"/>
      </w:pPr>
      <w:r>
        <w:rPr>
          <w:rFonts w:ascii="Arial" w:cs="Arial" w:eastAsia="Arial" w:hAnsi="Arial"/>
          <w:b w:val="false"/>
          <w:bCs w:val="false"/>
          <w:i w:val="false"/>
          <w:iCs w:val="false"/>
          <w:color w:val="1A1A2E"/>
          <w:sz w:val="21"/>
          <w:szCs w:val="21"/>
        </w:rPr>
        <w:t xml:space="preserve">Velixa est conçu pour être totalement transparent pour les utilisateurs et les agents IA. Un agent qui envoyait ses requêtes directement à Groq ou OpenAI les envoie désormais à Velixa — sans changer une seule ligne de code, en changeant uniquement l'URL cible. Velixa applique ses contrôles et relaie vers le LLM cible.</w:t>
      </w:r>
    </w:p>
    <w:p>
      <w:pPr>
        <w:pBdr>
          <w:left w:val="single" w:color="1B4F8A" w:sz="20"/>
        </w:pBdr>
        <w:shd w:fill="EBF3FB" w:val="clear"/>
        <w:spacing w:after="0" w:before="200"/>
      </w:pPr>
      <w:r>
        <w:rPr>
          <w:rFonts w:ascii="Arial" w:cs="Arial" w:eastAsia="Arial" w:hAnsi="Arial"/>
          <w:b/>
          <w:bCs/>
          <w:color w:val="1B4F8A"/>
          <w:sz w:val="21"/>
          <w:szCs w:val="21"/>
        </w:rPr>
        <w:t xml:space="preserve">   Le pipeline de gouvernance Velixa — 18 points de contrôle pour les agents</w:t>
      </w:r>
    </w:p>
    <w:p>
      <w:pPr>
        <w:pBdr>
          <w:left w:val="single" w:color="1B4F8A" w:sz="20"/>
        </w:pBdr>
        <w:shd w:fill="EBF3FB" w:val="clear"/>
        <w:spacing w:after="40"/>
      </w:pPr>
      <w:r>
        <w:rPr>
          <w:rFonts w:ascii="Arial" w:cs="Arial" w:eastAsia="Arial" w:hAnsi="Arial"/>
          <w:color w:val="1A1A2E"/>
          <w:sz w:val="20"/>
          <w:szCs w:val="20"/>
        </w:rPr>
        <w:t xml:space="preserve">   1.  Identification de l'agent (clé API, IP, User-Agent)</w:t>
      </w:r>
    </w:p>
    <w:p>
      <w:pPr>
        <w:pBdr>
          <w:left w:val="single" w:color="1B4F8A" w:sz="20"/>
        </w:pBdr>
        <w:shd w:fill="EBF3FB" w:val="clear"/>
        <w:spacing w:after="40"/>
      </w:pPr>
      <w:r>
        <w:rPr>
          <w:rFonts w:ascii="Arial" w:cs="Arial" w:eastAsia="Arial" w:hAnsi="Arial"/>
          <w:color w:val="1A1A2E"/>
          <w:sz w:val="20"/>
          <w:szCs w:val="20"/>
        </w:rPr>
        <w:t xml:space="preserve">   2.  Contrôle quota et rate limiting</w:t>
      </w:r>
    </w:p>
    <w:p>
      <w:pPr>
        <w:pBdr>
          <w:left w:val="single" w:color="1B4F8A" w:sz="20"/>
        </w:pBdr>
        <w:shd w:fill="EBF3FB" w:val="clear"/>
        <w:spacing w:after="40"/>
      </w:pPr>
      <w:r>
        <w:rPr>
          <w:rFonts w:ascii="Arial" w:cs="Arial" w:eastAsia="Arial" w:hAnsi="Arial"/>
          <w:color w:val="1A1A2E"/>
          <w:sz w:val="20"/>
          <w:szCs w:val="20"/>
        </w:rPr>
        <w:t xml:space="preserve">   3.  Contrôle budget mensuel (suspension automatique si plafond atteint)</w:t>
      </w:r>
    </w:p>
    <w:p>
      <w:pPr>
        <w:pBdr>
          <w:left w:val="single" w:color="1B4F8A" w:sz="20"/>
        </w:pBdr>
        <w:shd w:fill="EBF3FB" w:val="clear"/>
        <w:spacing w:after="40"/>
      </w:pPr>
      <w:r>
        <w:rPr>
          <w:rFonts w:ascii="Arial" w:cs="Arial" w:eastAsia="Arial" w:hAnsi="Arial"/>
          <w:color w:val="1A1A2E"/>
          <w:sz w:val="20"/>
          <w:szCs w:val="20"/>
        </w:rPr>
        <w:t xml:space="preserve">   4.  Kill switch — suspension immédiate par l'administrateur</w:t>
      </w:r>
    </w:p>
    <w:p>
      <w:pPr>
        <w:pBdr>
          <w:left w:val="single" w:color="1B4F8A" w:sz="20"/>
        </w:pBdr>
        <w:shd w:fill="EBF3FB" w:val="clear"/>
        <w:spacing w:after="40"/>
      </w:pPr>
      <w:r>
        <w:rPr>
          <w:rFonts w:ascii="Arial" w:cs="Arial" w:eastAsia="Arial" w:hAnsi="Arial"/>
          <w:color w:val="1A1A2E"/>
          <w:sz w:val="20"/>
          <w:szCs w:val="20"/>
        </w:rPr>
        <w:t xml:space="preserve">   5.  Contrôle plage horaire (ex : agents finance bloqués le week-end)</w:t>
      </w:r>
    </w:p>
    <w:p>
      <w:pPr>
        <w:pBdr>
          <w:left w:val="single" w:color="1B4F8A" w:sz="20"/>
        </w:pBdr>
        <w:shd w:fill="EBF3FB" w:val="clear"/>
        <w:spacing w:after="40"/>
      </w:pPr>
      <w:r>
        <w:rPr>
          <w:rFonts w:ascii="Arial" w:cs="Arial" w:eastAsia="Arial" w:hAnsi="Arial"/>
          <w:color w:val="1A1A2E"/>
          <w:sz w:val="20"/>
          <w:szCs w:val="20"/>
        </w:rPr>
        <w:t xml:space="preserve">   6.  Compression du prompt (économie 10-30% de tokens — réduction de coûts)</w:t>
      </w:r>
    </w:p>
    <w:p>
      <w:pPr>
        <w:pBdr>
          <w:left w:val="single" w:color="1B4F8A" w:sz="20"/>
        </w:pBdr>
        <w:shd w:fill="EBF3FB" w:val="clear"/>
        <w:spacing w:after="40"/>
      </w:pPr>
      <w:r>
        <w:rPr>
          <w:rFonts w:ascii="Arial" w:cs="Arial" w:eastAsia="Arial" w:hAnsi="Arial"/>
          <w:color w:val="1A1A2E"/>
          <w:sz w:val="20"/>
          <w:szCs w:val="20"/>
        </w:rPr>
        <w:t xml:space="preserve">   7.  Cache intelligent (même requête → réponse instantanée sans coût LLM)</w:t>
      </w:r>
    </w:p>
    <w:p>
      <w:pPr>
        <w:pBdr>
          <w:left w:val="single" w:color="1B4F8A" w:sz="20"/>
        </w:pBdr>
        <w:shd w:fill="EBF3FB" w:val="clear"/>
        <w:spacing w:after="40"/>
      </w:pPr>
      <w:r>
        <w:rPr>
          <w:rFonts w:ascii="Arial" w:cs="Arial" w:eastAsia="Arial" w:hAnsi="Arial"/>
          <w:color w:val="1A1A2E"/>
          <w:sz w:val="20"/>
          <w:szCs w:val="20"/>
        </w:rPr>
        <w:t xml:space="preserve">   8.  Tokenisation PII réversible (données sensibles masquées, restaurées sur réponse)</w:t>
      </w:r>
    </w:p>
    <w:p>
      <w:pPr>
        <w:pBdr>
          <w:left w:val="single" w:color="1B4F8A" w:sz="20"/>
        </w:pBdr>
        <w:shd w:fill="EBF3FB" w:val="clear"/>
        <w:spacing w:after="40"/>
      </w:pPr>
      <w:r>
        <w:rPr>
          <w:rFonts w:ascii="Arial" w:cs="Arial" w:eastAsia="Arial" w:hAnsi="Arial"/>
          <w:color w:val="1A1A2E"/>
          <w:sz w:val="20"/>
          <w:szCs w:val="20"/>
        </w:rPr>
        <w:t xml:space="preserve">   9.  Détection credentials et mots de passe</w:t>
      </w:r>
    </w:p>
    <w:p>
      <w:pPr>
        <w:pBdr>
          <w:left w:val="single" w:color="1B4F8A" w:sz="20"/>
        </w:pBdr>
        <w:shd w:fill="EBF3FB" w:val="clear"/>
        <w:spacing w:after="40"/>
      </w:pPr>
      <w:r>
        <w:rPr>
          <w:rFonts w:ascii="Arial" w:cs="Arial" w:eastAsia="Arial" w:hAnsi="Arial"/>
          <w:color w:val="1A1A2E"/>
          <w:sz w:val="20"/>
          <w:szCs w:val="20"/>
        </w:rPr>
        <w:t xml:space="preserve">   10. Détection jailbreak et prompt injection</w:t>
      </w:r>
    </w:p>
    <w:p>
      <w:pPr>
        <w:pBdr>
          <w:left w:val="single" w:color="1B4F8A" w:sz="20"/>
        </w:pBdr>
        <w:shd w:fill="EBF3FB" w:val="clear"/>
        <w:spacing w:after="40"/>
      </w:pPr>
      <w:r>
        <w:rPr>
          <w:rFonts w:ascii="Arial" w:cs="Arial" w:eastAsia="Arial" w:hAnsi="Arial"/>
          <w:color w:val="1A1A2E"/>
          <w:sz w:val="20"/>
          <w:szCs w:val="20"/>
        </w:rPr>
        <w:t xml:space="preserve">   11. Détection selon le profil sectoriel (finance, santé, RH...)</w:t>
      </w:r>
    </w:p>
    <w:p>
      <w:pPr>
        <w:pBdr>
          <w:left w:val="single" w:color="1B4F8A" w:sz="20"/>
        </w:pBdr>
        <w:shd w:fill="EBF3FB" w:val="clear"/>
        <w:spacing w:after="40"/>
      </w:pPr>
      <w:r>
        <w:rPr>
          <w:rFonts w:ascii="Arial" w:cs="Arial" w:eastAsia="Arial" w:hAnsi="Arial"/>
          <w:color w:val="1A1A2E"/>
          <w:sz w:val="20"/>
          <w:szCs w:val="20"/>
        </w:rPr>
        <w:t xml:space="preserve">   12. Détection fuite de propriété intellectuelle</w:t>
      </w:r>
    </w:p>
    <w:p>
      <w:pPr>
        <w:pBdr>
          <w:left w:val="single" w:color="1B4F8A" w:sz="20"/>
        </w:pBdr>
        <w:shd w:fill="EBF3FB" w:val="clear"/>
        <w:spacing w:after="40"/>
      </w:pPr>
      <w:r>
        <w:rPr>
          <w:rFonts w:ascii="Arial" w:cs="Arial" w:eastAsia="Arial" w:hAnsi="Arial"/>
          <w:color w:val="1A1A2E"/>
          <w:sz w:val="20"/>
          <w:szCs w:val="20"/>
        </w:rPr>
        <w:t xml:space="preserve">   13. Human In The Loop — mise en attente si risque élevé</w:t>
      </w:r>
    </w:p>
    <w:p>
      <w:pPr>
        <w:pBdr>
          <w:left w:val="single" w:color="1B4F8A" w:sz="20"/>
        </w:pBdr>
        <w:shd w:fill="EBF3FB" w:val="clear"/>
        <w:spacing w:after="40"/>
      </w:pPr>
      <w:r>
        <w:rPr>
          <w:rFonts w:ascii="Arial" w:cs="Arial" w:eastAsia="Arial" w:hAnsi="Arial"/>
          <w:color w:val="1A1A2E"/>
          <w:sz w:val="20"/>
          <w:szCs w:val="20"/>
        </w:rPr>
        <w:t xml:space="preserve">   14. Relais vers API LLM externe (Groq, OpenAI, Anthropic, Gemini)</w:t>
      </w:r>
    </w:p>
    <w:p>
      <w:pPr>
        <w:pBdr>
          <w:left w:val="single" w:color="1B4F8A" w:sz="20"/>
        </w:pBdr>
        <w:shd w:fill="EBF3FB" w:val="clear"/>
        <w:spacing w:after="40"/>
      </w:pPr>
      <w:r>
        <w:rPr>
          <w:rFonts w:ascii="Arial" w:cs="Arial" w:eastAsia="Arial" w:hAnsi="Arial"/>
          <w:color w:val="1A1A2E"/>
          <w:sz w:val="20"/>
          <w:szCs w:val="20"/>
        </w:rPr>
        <w:t xml:space="preserve">   15. Détection RAG poisoning sur la réponse reçue</w:t>
      </w:r>
    </w:p>
    <w:p>
      <w:pPr>
        <w:pBdr>
          <w:left w:val="single" w:color="1B4F8A" w:sz="20"/>
        </w:pBdr>
        <w:shd w:fill="EBF3FB" w:val="clear"/>
        <w:spacing w:after="40"/>
      </w:pPr>
      <w:r>
        <w:rPr>
          <w:rFonts w:ascii="Arial" w:cs="Arial" w:eastAsia="Arial" w:hAnsi="Arial"/>
          <w:color w:val="1A1A2E"/>
          <w:sz w:val="20"/>
          <w:szCs w:val="20"/>
        </w:rPr>
        <w:t xml:space="preserve">   16. Détokenisation PII (restauration des vraies valeurs)</w:t>
      </w:r>
    </w:p>
    <w:p>
      <w:pPr>
        <w:pBdr>
          <w:left w:val="single" w:color="1B4F8A" w:sz="20"/>
        </w:pBdr>
        <w:shd w:fill="EBF3FB" w:val="clear"/>
        <w:spacing w:after="40"/>
      </w:pPr>
      <w:r>
        <w:rPr>
          <w:rFonts w:ascii="Arial" w:cs="Arial" w:eastAsia="Arial" w:hAnsi="Arial"/>
          <w:color w:val="1A1A2E"/>
          <w:sz w:val="20"/>
          <w:szCs w:val="20"/>
        </w:rPr>
        <w:t xml:space="preserve">   17. Mise en cache de la réponse</w:t>
      </w:r>
    </w:p>
    <w:p>
      <w:pPr>
        <w:pBdr>
          <w:left w:val="single" w:color="1B4F8A" w:sz="20"/>
        </w:pBdr>
        <w:shd w:fill="EBF3FB" w:val="clear"/>
        <w:spacing w:after="40"/>
      </w:pPr>
      <w:r>
        <w:rPr>
          <w:rFonts w:ascii="Arial" w:cs="Arial" w:eastAsia="Arial" w:hAnsi="Arial"/>
          <w:color w:val="1A1A2E"/>
          <w:sz w:val="20"/>
          <w:szCs w:val="20"/>
        </w:rPr>
        <w:t xml:space="preserve">   18. Injection trace_id + watermark — traçabilité complète</w:t>
      </w:r>
    </w:p>
    <w:p>
      <w:pPr>
        <w:spacing w:after="200"/>
      </w:pPr>
    </w:p>
    <w:p>
      <w:pPr>
        <w:pStyle w:val="Heading2"/>
        <w:spacing w:after="140" w:before="320"/>
      </w:pPr>
      <w:r>
        <w:rPr>
          <w:rFonts w:ascii="Arial" w:cs="Arial" w:eastAsia="Arial" w:hAnsi="Arial"/>
          <w:b/>
          <w:bCs/>
          <w:color w:val="0D1B3E"/>
          <w:sz w:val="26"/>
          <w:szCs w:val="26"/>
        </w:rPr>
        <w:t xml:space="preserve">2.3 L'IA locale au service de l'entreprise</w:t>
      </w:r>
    </w:p>
    <w:p>
      <w:pPr>
        <w:spacing w:after="140" w:line="340"/>
        <w:jc w:val="both"/>
      </w:pPr>
      <w:r>
        <w:rPr>
          <w:rFonts w:ascii="Arial" w:cs="Arial" w:eastAsia="Arial" w:hAnsi="Arial"/>
          <w:b w:val="false"/>
          <w:bCs w:val="false"/>
          <w:i w:val="false"/>
          <w:iCs w:val="false"/>
          <w:color w:val="1A1A2E"/>
          <w:sz w:val="21"/>
          <w:szCs w:val="21"/>
        </w:rPr>
        <w:t xml:space="preserve">La dimension la plus différenciante de Velixa est l'intégration de phi3:mini via Ollama — un LLM open-source de Microsoft fonctionnant entièrement en local sur le serveur de l'entreprise.</w:t>
      </w:r>
    </w:p>
    <w:p>
      <w:pPr>
        <w:spacing w:after="140" w:line="340"/>
        <w:jc w:val="both"/>
      </w:pPr>
      <w:r>
        <w:rPr>
          <w:rFonts w:ascii="Arial" w:cs="Arial" w:eastAsia="Arial" w:hAnsi="Arial"/>
          <w:b w:val="false"/>
          <w:bCs w:val="false"/>
          <w:i w:val="false"/>
          <w:iCs w:val="false"/>
          <w:color w:val="1A1A2E"/>
          <w:sz w:val="21"/>
          <w:szCs w:val="21"/>
        </w:rPr>
        <w:t xml:space="preserve">Cette IA locale ne sert pas à remplacer les LLM externes. Elle sert à effectuer des tâches qui ne peuvent pas, par nature, être confiées à un service cloud : l'analyse de documents confidentiels.</w:t>
      </w:r>
    </w:p>
    <w:p>
      <w:pPr>
        <w:pBdr>
          <w:left w:val="single" w:color="0F7A56" w:sz="20"/>
        </w:pBdr>
        <w:shd w:fill="E8F8F2" w:val="clear"/>
        <w:spacing w:after="0" w:before="200"/>
      </w:pPr>
      <w:r>
        <w:rPr>
          <w:rFonts w:ascii="Arial" w:cs="Arial" w:eastAsia="Arial" w:hAnsi="Arial"/>
          <w:b/>
          <w:bCs/>
          <w:color w:val="0F7A56"/>
          <w:sz w:val="21"/>
          <w:szCs w:val="21"/>
        </w:rPr>
        <w:t xml:space="preserve">   Ce que phi3:mini fait en local dans Velixa — données jamais transmises</w:t>
      </w:r>
    </w:p>
    <w:p>
      <w:pPr>
        <w:pBdr>
          <w:left w:val="single" w:color="0F7A56" w:sz="20"/>
        </w:pBdr>
        <w:shd w:fill="E8F8F2" w:val="clear"/>
        <w:spacing w:after="40"/>
      </w:pPr>
      <w:r>
        <w:rPr>
          <w:rFonts w:ascii="Arial" w:cs="Arial" w:eastAsia="Arial" w:hAnsi="Arial"/>
          <w:color w:val="1A1A2E"/>
          <w:sz w:val="20"/>
          <w:szCs w:val="20"/>
        </w:rPr>
        <w:t xml:space="preserve">   Analyse de contrats fournisseurs vs NIS2 Supply Chain → score de conformité /100</w:t>
      </w:r>
    </w:p>
    <w:p>
      <w:pPr>
        <w:pBdr>
          <w:left w:val="single" w:color="0F7A56" w:sz="20"/>
        </w:pBdr>
        <w:shd w:fill="E8F8F2" w:val="clear"/>
        <w:spacing w:after="40"/>
      </w:pPr>
      <w:r>
        <w:rPr>
          <w:rFonts w:ascii="Arial" w:cs="Arial" w:eastAsia="Arial" w:hAnsi="Arial"/>
          <w:color w:val="1A1A2E"/>
          <w:sz w:val="20"/>
          <w:szCs w:val="20"/>
        </w:rPr>
        <w:t xml:space="preserve">   Vérification RGPD de documents internes → lacunes et recommandations</w:t>
      </w:r>
    </w:p>
    <w:p>
      <w:pPr>
        <w:pBdr>
          <w:left w:val="single" w:color="0F7A56" w:sz="20"/>
        </w:pBdr>
        <w:shd w:fill="E8F8F2" w:val="clear"/>
        <w:spacing w:after="40"/>
      </w:pPr>
      <w:r>
        <w:rPr>
          <w:rFonts w:ascii="Arial" w:cs="Arial" w:eastAsia="Arial" w:hAnsi="Arial"/>
          <w:color w:val="1A1A2E"/>
          <w:sz w:val="20"/>
          <w:szCs w:val="20"/>
        </w:rPr>
        <w:t xml:space="preserve">   Détection de biais dans les offres d'emploi → formulations alternatives</w:t>
      </w:r>
    </w:p>
    <w:p>
      <w:pPr>
        <w:pBdr>
          <w:left w:val="single" w:color="0F7A56" w:sz="20"/>
        </w:pBdr>
        <w:shd w:fill="E8F8F2" w:val="clear"/>
        <w:spacing w:after="40"/>
      </w:pPr>
      <w:r>
        <w:rPr>
          <w:rFonts w:ascii="Arial" w:cs="Arial" w:eastAsia="Arial" w:hAnsi="Arial"/>
          <w:color w:val="1A1A2E"/>
          <w:sz w:val="20"/>
          <w:szCs w:val="20"/>
        </w:rPr>
        <w:t xml:space="preserve">   Audit de politiques de sécurité vs ISO 27001 / NIS2 → plan d'action</w:t>
      </w:r>
    </w:p>
    <w:p>
      <w:pPr>
        <w:pBdr>
          <w:left w:val="single" w:color="0F7A56" w:sz="20"/>
        </w:pBdr>
        <w:shd w:fill="E8F8F2" w:val="clear"/>
        <w:spacing w:after="40"/>
      </w:pPr>
      <w:r>
        <w:rPr>
          <w:rFonts w:ascii="Arial" w:cs="Arial" w:eastAsia="Arial" w:hAnsi="Arial"/>
          <w:color w:val="1A1A2E"/>
          <w:sz w:val="20"/>
          <w:szCs w:val="20"/>
        </w:rPr>
        <w:t xml:space="preserve">   Conformité DORA pour le secteur financier → rapport structuré</w:t>
      </w:r>
    </w:p>
    <w:p>
      <w:pPr>
        <w:pBdr>
          <w:left w:val="single" w:color="0F7A56" w:sz="20"/>
        </w:pBdr>
        <w:shd w:fill="E8F8F2" w:val="clear"/>
        <w:spacing w:after="40"/>
      </w:pPr>
      <w:r>
        <w:rPr>
          <w:rFonts w:ascii="Arial" w:cs="Arial" w:eastAsia="Arial" w:hAnsi="Arial"/>
          <w:color w:val="1A1A2E"/>
          <w:sz w:val="20"/>
          <w:szCs w:val="20"/>
        </w:rPr>
        <w:t xml:space="preserve">   Vérification consentements patients pour les établissements de santé</w:t>
      </w:r>
    </w:p>
    <w:p>
      <w:pPr>
        <w:pBdr>
          <w:left w:val="single" w:color="0F7A56" w:sz="20"/>
        </w:pBdr>
        <w:shd w:fill="E8F8F2" w:val="clear"/>
        <w:spacing w:after="40"/>
      </w:pPr>
      <w:r>
        <w:rPr>
          <w:rFonts w:ascii="Arial" w:cs="Arial" w:eastAsia="Arial" w:hAnsi="Arial"/>
          <w:color w:val="1A1A2E"/>
          <w:sz w:val="20"/>
          <w:szCs w:val="20"/>
        </w:rPr>
        <w:t xml:space="preserve">   Réécriture conforme des prompts bloqués → suppression chirurgicale des données sensibles</w:t>
      </w:r>
    </w:p>
    <w:p>
      <w:pPr>
        <w:pBdr>
          <w:left w:val="single" w:color="0F7A56" w:sz="20"/>
        </w:pBdr>
        <w:shd w:fill="E8F8F2" w:val="clear"/>
        <w:spacing w:after="40"/>
      </w:pPr>
      <w:r>
        <w:rPr>
          <w:rFonts w:ascii="Arial" w:cs="Arial" w:eastAsia="Arial" w:hAnsi="Arial"/>
          <w:color w:val="1A1A2E"/>
          <w:sz w:val="20"/>
          <w:szCs w:val="20"/>
        </w:rPr>
        <w:t xml:space="preserve">   Résumé et traduction confidentielle de tout document</w:t>
      </w:r>
    </w:p>
    <w:p>
      <w:pPr>
        <w:pBdr>
          <w:left w:val="single" w:color="0F7A56" w:sz="20"/>
        </w:pBdr>
        <w:shd w:fill="E8F8F2" w:val="clear"/>
        <w:spacing w:after="40"/>
      </w:pPr>
      <w:r>
        <w:rPr>
          <w:rFonts w:ascii="Arial" w:cs="Arial" w:eastAsia="Arial" w:hAnsi="Arial"/>
          <w:color w:val="1A1A2E"/>
          <w:sz w:val="20"/>
          <w:szCs w:val="20"/>
        </w:rPr>
        <w:t xml:space="preserve">   Génération de politiques d'usage IA adaptées au secteur</w:t>
      </w:r>
    </w:p>
    <w:p>
      <w:pPr>
        <w:spacing w:after="200"/>
      </w:pPr>
    </w:p>
    <w:p>
      <w:pPr>
        <w:pStyle w:val="Heading2"/>
        <w:spacing w:after="140" w:before="320"/>
      </w:pPr>
      <w:r>
        <w:rPr>
          <w:rFonts w:ascii="Arial" w:cs="Arial" w:eastAsia="Arial" w:hAnsi="Arial"/>
          <w:b/>
          <w:bCs/>
          <w:color w:val="0D1B3E"/>
          <w:sz w:val="26"/>
          <w:szCs w:val="26"/>
        </w:rPr>
        <w:t xml:space="preserve">2.4 La pédagogie plutôt que la sanction</w:t>
      </w:r>
    </w:p>
    <w:p>
      <w:pPr>
        <w:spacing w:after="140" w:line="340"/>
        <w:jc w:val="both"/>
      </w:pPr>
      <w:r>
        <w:rPr>
          <w:rFonts w:ascii="Arial" w:cs="Arial" w:eastAsia="Arial" w:hAnsi="Arial"/>
          <w:b w:val="false"/>
          <w:bCs w:val="false"/>
          <w:i w:val="false"/>
          <w:iCs w:val="false"/>
          <w:color w:val="1A1A2E"/>
          <w:sz w:val="21"/>
          <w:szCs w:val="21"/>
        </w:rPr>
        <w:t xml:space="preserve">Un choix de design fondamental distingue Velixa de toutes les solutions concurrentes : quand un prompt est bloqué, Velixa n'affiche pas simplement un message d'erreur. Il explique.</w:t>
      </w:r>
    </w:p>
    <w:p>
      <w:pPr>
        <w:spacing w:after="140" w:line="340"/>
        <w:jc w:val="both"/>
      </w:pPr>
      <w:r>
        <w:rPr>
          <w:rFonts w:ascii="Arial" w:cs="Arial" w:eastAsia="Arial" w:hAnsi="Arial"/>
          <w:b w:val="false"/>
          <w:bCs w:val="false"/>
          <w:i w:val="false"/>
          <w:iCs w:val="false"/>
          <w:color w:val="1A1A2E"/>
          <w:sz w:val="21"/>
          <w:szCs w:val="21"/>
        </w:rPr>
        <w:t xml:space="preserve">Pour chaque violation détectée, l'utilisateur voit : ce qui a été détecté, pourquoi c'est un problème réglementaire, comment reformuler correctement. Et phi3:mini génère immédiatement une version conforme du prompt — même structure, même intention, mêmes mots — mais sans les données sensibles.</w:t>
      </w:r>
    </w:p>
    <w:p>
      <w:pPr>
        <w:spacing w:after="140" w:line="340"/>
        <w:jc w:val="both"/>
      </w:pPr>
      <w:r>
        <w:rPr>
          <w:rFonts w:ascii="Arial" w:cs="Arial" w:eastAsia="Arial" w:hAnsi="Arial"/>
          <w:b w:val="false"/>
          <w:bCs w:val="false"/>
          <w:i w:val="false"/>
          <w:iCs w:val="false"/>
          <w:color w:val="1A1A2E"/>
          <w:sz w:val="21"/>
          <w:szCs w:val="21"/>
        </w:rPr>
        <w:t xml:space="preserve">Cette approche transforme chaque blocage en opportunité de formation. Plutôt que frustrer l'utilisateur, Velixa l'éduque. Sur 6 mois d'utilisation, les entreprises observent une réduction naturelle des violations parce que les utilisateurs comprennent les règles en les vivant.</w:t>
      </w:r>
    </w:p>
    <w:p>
      <w:pPr>
        <w:pBdr>
          <w:left w:val="single" w:color="0F7A56" w:sz="20" w:space="12"/>
        </w:pBdr>
        <w:spacing w:after="240" w:before="240"/>
        <w:ind w:left="480" w:right="480"/>
      </w:pPr>
      <w:r>
        <w:rPr>
          <w:rFonts w:ascii="Arial" w:cs="Arial" w:eastAsia="Arial" w:hAnsi="Arial"/>
          <w:b/>
          <w:bCs/>
          <w:i/>
          <w:iCs/>
          <w:color w:val="0D1B3E"/>
          <w:sz w:val="24"/>
          <w:szCs w:val="24"/>
        </w:rPr>
        <w:t xml:space="preserve">Éduquer plutôt que sanctionner. Expliquer plutôt qu'interdire. C'est la philosophie qui transforme un outil de conformité en outil de culture IA.</w:t>
      </w:r>
    </w:p>
    <w:p>
      <w:r>
        <w:br w:type="page"/>
      </w:r>
    </w:p>
    <w:p>
      <w:pPr>
        <w:pStyle w:val="Heading1"/>
        <w:spacing w:after="200" w:before="480"/>
      </w:pPr>
      <w:r>
        <w:rPr>
          <w:rFonts w:ascii="Arial" w:cs="Arial" w:eastAsia="Arial" w:hAnsi="Arial"/>
          <w:b/>
          <w:bCs/>
          <w:color w:val="1B4F8A"/>
          <w:sz w:val="36"/>
          <w:szCs w:val="36"/>
        </w:rPr>
        <w:t xml:space="preserve">3. Modèle économique et licence</w:t>
      </w:r>
    </w:p>
    <w:p>
      <w:pPr>
        <w:pStyle w:val="Heading2"/>
        <w:spacing w:after="140" w:before="320"/>
      </w:pPr>
      <w:r>
        <w:rPr>
          <w:rFonts w:ascii="Arial" w:cs="Arial" w:eastAsia="Arial" w:hAnsi="Arial"/>
          <w:b/>
          <w:bCs/>
          <w:color w:val="0D1B3E"/>
          <w:sz w:val="26"/>
          <w:szCs w:val="26"/>
        </w:rPr>
        <w:t xml:space="preserve">3.1 Open Source AGPL v3 — le choix de la confiance</w:t>
      </w:r>
    </w:p>
    <w:p>
      <w:pPr>
        <w:spacing w:after="140" w:line="340"/>
        <w:jc w:val="both"/>
      </w:pPr>
      <w:r>
        <w:rPr>
          <w:rFonts w:ascii="Arial" w:cs="Arial" w:eastAsia="Arial" w:hAnsi="Arial"/>
          <w:b w:val="false"/>
          <w:bCs w:val="false"/>
          <w:i w:val="false"/>
          <w:iCs w:val="false"/>
          <w:color w:val="1A1A2E"/>
          <w:sz w:val="21"/>
          <w:szCs w:val="21"/>
        </w:rPr>
        <w:t xml:space="preserve">Velixa est distribué sous licence GNU Affero General Public License version 3. Ce choix n'est pas anodin : l'AGPL v3 est la licence open-source la plus exigeante sur la réciprocité. Toute organisation qui modifie et déploie Velixa doit publier ses modifications — y compris via réseau.</w:t>
      </w:r>
    </w:p>
    <w:p>
      <w:pPr>
        <w:spacing w:after="140" w:line="340"/>
        <w:jc w:val="both"/>
      </w:pPr>
      <w:r>
        <w:rPr>
          <w:rFonts w:ascii="Arial" w:cs="Arial" w:eastAsia="Arial" w:hAnsi="Arial"/>
          <w:b w:val="false"/>
          <w:bCs w:val="false"/>
          <w:i w:val="false"/>
          <w:iCs w:val="false"/>
          <w:color w:val="1A1A2E"/>
          <w:sz w:val="21"/>
          <w:szCs w:val="21"/>
        </w:rPr>
        <w:t xml:space="preserve">Ce choix garantit plusieurs choses fondamentales pour les utilisateurs de Velixa :</w:t>
      </w:r>
    </w:p>
    <w:p>
      <w:pPr>
        <w:pStyle w:val="ListParagraph"/>
        <w:numPr>
          <w:ilvl w:val="0"/>
          <w:numId w:val="2"/>
        </w:numPr>
        <w:spacing w:after="80" w:line="320"/>
      </w:pPr>
      <w:r>
        <w:rPr>
          <w:rFonts w:ascii="Arial" w:cs="Arial" w:eastAsia="Arial" w:hAnsi="Arial"/>
          <w:color w:val="1A1A2E"/>
          <w:sz w:val="20"/>
          <w:szCs w:val="20"/>
        </w:rPr>
        <w:t xml:space="preserve">Transparence totale — le code source est auditable par n'importe quel expert sécurité ou DPO</w:t>
      </w:r>
    </w:p>
    <w:p>
      <w:pPr>
        <w:pStyle w:val="ListParagraph"/>
        <w:numPr>
          <w:ilvl w:val="0"/>
          <w:numId w:val="2"/>
        </w:numPr>
        <w:spacing w:after="80" w:line="320"/>
      </w:pPr>
      <w:r>
        <w:rPr>
          <w:rFonts w:ascii="Arial" w:cs="Arial" w:eastAsia="Arial" w:hAnsi="Arial"/>
          <w:color w:val="1A1A2E"/>
          <w:sz w:val="20"/>
          <w:szCs w:val="20"/>
        </w:rPr>
        <w:t xml:space="preserve">Absence de backdoors — l'open source est la seule garantie réelle contre les portes dérobées</w:t>
      </w:r>
    </w:p>
    <w:p>
      <w:pPr>
        <w:pStyle w:val="ListParagraph"/>
        <w:numPr>
          <w:ilvl w:val="0"/>
          <w:numId w:val="2"/>
        </w:numPr>
        <w:spacing w:after="80" w:line="320"/>
      </w:pPr>
      <w:r>
        <w:rPr>
          <w:rFonts w:ascii="Arial" w:cs="Arial" w:eastAsia="Arial" w:hAnsi="Arial"/>
          <w:color w:val="1A1A2E"/>
          <w:sz w:val="20"/>
          <w:szCs w:val="20"/>
        </w:rPr>
        <w:t xml:space="preserve">Pérennité — même si l'équipe initiale disparaît, le code reste disponible et maintenable</w:t>
      </w:r>
    </w:p>
    <w:p>
      <w:pPr>
        <w:pStyle w:val="ListParagraph"/>
        <w:numPr>
          <w:ilvl w:val="0"/>
          <w:numId w:val="2"/>
        </w:numPr>
        <w:spacing w:after="80" w:line="320"/>
      </w:pPr>
      <w:r>
        <w:rPr>
          <w:rFonts w:ascii="Arial" w:cs="Arial" w:eastAsia="Arial" w:hAnsi="Arial"/>
          <w:color w:val="1A1A2E"/>
          <w:sz w:val="20"/>
          <w:szCs w:val="20"/>
        </w:rPr>
        <w:t xml:space="preserve">Confiance dans le traitement des données — pas de comportement caché possible</w:t>
      </w:r>
    </w:p>
    <w:p>
      <w:pPr>
        <w:spacing w:after="160"/>
      </w:pPr>
    </w:p>
    <w:p>
      <w:pPr>
        <w:pStyle w:val="Heading2"/>
        <w:spacing w:after="140" w:before="320"/>
      </w:pPr>
      <w:r>
        <w:rPr>
          <w:rFonts w:ascii="Arial" w:cs="Arial" w:eastAsia="Arial" w:hAnsi="Arial"/>
          <w:b/>
          <w:bCs/>
          <w:color w:val="0D1B3E"/>
          <w:sz w:val="26"/>
          <w:szCs w:val="26"/>
        </w:rPr>
        <w:t xml:space="preserve">3.2 Community vs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3060"/>
      </w:tblGrid>
      <w:tr>
        <w:tc>
          <w:tcPr>
            <w:tcW w:type="dxa" w:w="38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Fonctionnalité</w:t>
            </w:r>
          </w:p>
        </w:tc>
        <w:tc>
          <w:tcPr>
            <w:tcW w:type="dxa" w:w="25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Community (Gratuit)</w:t>
            </w:r>
          </w:p>
        </w:tc>
        <w:tc>
          <w:tcPr>
            <w:tcW w:type="dxa" w:w="306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Enterprise (Licence)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Pipeline sécurité complet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Outils métier phi3:mini</w:t>
            </w:r>
          </w:p>
        </w:tc>
        <w:tc>
          <w:tcPr>
            <w:tcW w:type="dxa" w:w="25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Inclus</w:t>
            </w:r>
          </w:p>
        </w:tc>
        <w:tc>
          <w:tcPr>
            <w:tcW w:type="dxa" w:w="30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HITL — approbations humaines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 (self-hosted)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 SLA + support</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Déchiffrement prompts HITL</w:t>
            </w:r>
          </w:p>
        </w:tc>
        <w:tc>
          <w:tcPr>
            <w:tcW w:type="dxa" w:w="25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Pay-per-use</w:t>
            </w:r>
          </w:p>
        </w:tc>
        <w:tc>
          <w:tcPr>
            <w:tcW w:type="dxa" w:w="30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Illimité</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Rapport EU AI Act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Legal Hold</w:t>
            </w:r>
          </w:p>
        </w:tc>
        <w:tc>
          <w:tcPr>
            <w:tcW w:type="dxa" w:w="25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Inclus</w:t>
            </w:r>
          </w:p>
        </w:tc>
        <w:tc>
          <w:tcPr>
            <w:tcW w:type="dxa" w:w="30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 Signature notariée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Multi-tenant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MCP Gateway</w:t>
            </w:r>
          </w:p>
        </w:tc>
        <w:tc>
          <w:tcPr>
            <w:tcW w:type="dxa" w:w="25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w:t>
            </w:r>
          </w:p>
        </w:tc>
        <w:tc>
          <w:tcPr>
            <w:tcW w:type="dxa" w:w="30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SDK PHP / Python / JS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Inclus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Support et SLA</w:t>
            </w:r>
          </w:p>
        </w:tc>
        <w:tc>
          <w:tcPr>
            <w:tcW w:type="dxa" w:w="25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Communauté</w:t>
            </w:r>
          </w:p>
        </w:tc>
        <w:tc>
          <w:tcPr>
            <w:tcW w:type="dxa" w:w="30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Support dédié, SLA 99.9%</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Programme MSP / Revendeur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Programme OEM</w:t>
            </w:r>
          </w:p>
        </w:tc>
      </w:tr>
    </w:tbl>
    <w:p>
      <w:pPr>
        <w:spacing w:after="160"/>
      </w:pPr>
    </w:p>
    <w:p>
      <w:pPr>
        <w:pStyle w:val="Heading2"/>
        <w:spacing w:after="140" w:before="320"/>
      </w:pPr>
      <w:r>
        <w:rPr>
          <w:rFonts w:ascii="Arial" w:cs="Arial" w:eastAsia="Arial" w:hAnsi="Arial"/>
          <w:b/>
          <w:bCs/>
          <w:color w:val="0D1B3E"/>
          <w:sz w:val="26"/>
          <w:szCs w:val="26"/>
        </w:rPr>
        <w:t xml:space="preserve">3.3 ROI direct et mesurable</w:t>
      </w:r>
    </w:p>
    <w:p>
      <w:pPr>
        <w:spacing w:after="140" w:line="340"/>
        <w:jc w:val="both"/>
      </w:pPr>
      <w:r>
        <w:rPr>
          <w:rFonts w:ascii="Arial" w:cs="Arial" w:eastAsia="Arial" w:hAnsi="Arial"/>
          <w:b w:val="false"/>
          <w:bCs w:val="false"/>
          <w:i w:val="false"/>
          <w:iCs w:val="false"/>
          <w:color w:val="1A1A2E"/>
          <w:sz w:val="21"/>
          <w:szCs w:val="21"/>
        </w:rPr>
        <w:t xml:space="preserve">Velixa génère un retour sur investissement immédiat et mesurable via son dashboard exécutif, qui calcule en temps réel les économies estimées en amendes évitées pour chaque violation bloquée.</w:t>
      </w:r>
    </w:p>
    <w:p>
      <w:pPr>
        <w:pBdr>
          <w:left w:val="single" w:color="B7791F" w:sz="20"/>
        </w:pBdr>
        <w:shd w:fill="FFF8E8" w:val="clear"/>
        <w:spacing w:after="0" w:before="200"/>
      </w:pPr>
      <w:r>
        <w:rPr>
          <w:rFonts w:ascii="Arial" w:cs="Arial" w:eastAsia="Arial" w:hAnsi="Arial"/>
          <w:b/>
          <w:bCs/>
          <w:color w:val="B7791F"/>
          <w:sz w:val="21"/>
          <w:szCs w:val="21"/>
        </w:rPr>
        <w:t xml:space="preserve">   Calcul ROI Velixa — base indicative</w:t>
      </w:r>
    </w:p>
    <w:p>
      <w:pPr>
        <w:pBdr>
          <w:left w:val="single" w:color="B7791F" w:sz="20"/>
        </w:pBdr>
        <w:shd w:fill="FFF8E8" w:val="clear"/>
        <w:spacing w:after="40"/>
      </w:pPr>
      <w:r>
        <w:rPr>
          <w:rFonts w:ascii="Arial" w:cs="Arial" w:eastAsia="Arial" w:hAnsi="Arial"/>
          <w:color w:val="1A1A2E"/>
          <w:sz w:val="20"/>
          <w:szCs w:val="20"/>
        </w:rPr>
        <w:t xml:space="preserve">   Violation RGPD données personnelles bloquée → 10 000€ de risque évité (PME)</w:t>
      </w:r>
    </w:p>
    <w:p>
      <w:pPr>
        <w:pBdr>
          <w:left w:val="single" w:color="B7791F" w:sz="20"/>
        </w:pBdr>
        <w:shd w:fill="FFF8E8" w:val="clear"/>
        <w:spacing w:after="40"/>
      </w:pPr>
      <w:r>
        <w:rPr>
          <w:rFonts w:ascii="Arial" w:cs="Arial" w:eastAsia="Arial" w:hAnsi="Arial"/>
          <w:color w:val="1A1A2E"/>
          <w:sz w:val="20"/>
          <w:szCs w:val="20"/>
        </w:rPr>
        <w:t xml:space="preserve">   Incident NIS2 / prompt injection intercepté → 50 000€ de risque évité</w:t>
      </w:r>
    </w:p>
    <w:p>
      <w:pPr>
        <w:pBdr>
          <w:left w:val="single" w:color="B7791F" w:sz="20"/>
        </w:pBdr>
        <w:shd w:fill="FFF8E8" w:val="clear"/>
        <w:spacing w:after="40"/>
      </w:pPr>
      <w:r>
        <w:rPr>
          <w:rFonts w:ascii="Arial" w:cs="Arial" w:eastAsia="Arial" w:hAnsi="Arial"/>
          <w:color w:val="1A1A2E"/>
          <w:sz w:val="20"/>
          <w:szCs w:val="20"/>
        </w:rPr>
        <w:t xml:space="preserve">   Fuite de propriété intellectuelle évitée → valeur estimée selon l'actif</w:t>
      </w:r>
    </w:p>
    <w:p>
      <w:pPr>
        <w:pBdr>
          <w:left w:val="single" w:color="B7791F" w:sz="20"/>
        </w:pBdr>
        <w:shd w:fill="FFF8E8" w:val="clear"/>
        <w:spacing w:after="40"/>
      </w:pPr>
      <w:r>
        <w:rPr>
          <w:rFonts w:ascii="Arial" w:cs="Arial" w:eastAsia="Arial" w:hAnsi="Arial"/>
          <w:color w:val="1A1A2E"/>
          <w:sz w:val="20"/>
          <w:szCs w:val="20"/>
        </w:rPr>
        <w:t xml:space="preserve">   Réduction tokens par compression → économies directes sur factures API</w:t>
      </w:r>
    </w:p>
    <w:p>
      <w:pPr>
        <w:pBdr>
          <w:left w:val="single" w:color="B7791F" w:sz="20"/>
        </w:pBdr>
        <w:shd w:fill="FFF8E8" w:val="clear"/>
        <w:spacing w:after="40"/>
      </w:pPr>
      <w:r>
        <w:rPr>
          <w:rFonts w:ascii="Arial" w:cs="Arial" w:eastAsia="Arial" w:hAnsi="Arial"/>
          <w:color w:val="1A1A2E"/>
          <w:sz w:val="20"/>
          <w:szCs w:val="20"/>
        </w:rPr>
        <w:t xml:space="preserve">   Cache intelligent → économies directes sur factures API (jusqu'à 40%)</w:t>
      </w:r>
    </w:p>
    <w:p>
      <w:pPr>
        <w:pBdr>
          <w:left w:val="single" w:color="B7791F" w:sz="20"/>
        </w:pBdr>
        <w:shd w:fill="FFF8E8" w:val="clear"/>
        <w:spacing w:after="60"/>
      </w:pPr>
      <w:r>
        <w:rPr>
          <w:rFonts w:ascii="Arial" w:cs="Arial" w:eastAsia="Arial" w:hAnsi="Arial"/>
          <w:color w:val="1A1A2E"/>
          <w:sz w:val="20"/>
          <w:szCs w:val="20"/>
        </w:rPr>
        <w:t xml:space="preserve">   </w:t>
      </w:r>
    </w:p>
    <w:p>
      <w:pPr>
        <w:pBdr>
          <w:left w:val="single" w:color="B7791F" w:sz="20"/>
        </w:pBdr>
        <w:shd w:fill="FFF8E8" w:val="clear"/>
        <w:spacing w:after="40"/>
      </w:pPr>
      <w:r>
        <w:rPr>
          <w:rFonts w:ascii="Arial" w:cs="Arial" w:eastAsia="Arial" w:hAnsi="Arial"/>
          <w:color w:val="1A1A2E"/>
          <w:sz w:val="20"/>
          <w:szCs w:val="20"/>
        </w:rPr>
        <w:t xml:space="preserve">   Une PME de 50 employés avec 500 prompts/jour intercepte statistiquement</w:t>
      </w:r>
    </w:p>
    <w:p>
      <w:pPr>
        <w:pBdr>
          <w:left w:val="single" w:color="B7791F" w:sz="20"/>
        </w:pBdr>
        <w:shd w:fill="FFF8E8" w:val="clear"/>
        <w:spacing w:after="40"/>
      </w:pPr>
      <w:r>
        <w:rPr>
          <w:rFonts w:ascii="Arial" w:cs="Arial" w:eastAsia="Arial" w:hAnsi="Arial"/>
          <w:color w:val="1A1A2E"/>
          <w:sz w:val="20"/>
          <w:szCs w:val="20"/>
        </w:rPr>
        <w:t xml:space="preserve">   3 à 8 violations critiques par semaine — soit 30 000€ à 400 000€ de risque</w:t>
      </w:r>
    </w:p>
    <w:p>
      <w:pPr>
        <w:pBdr>
          <w:left w:val="single" w:color="B7791F" w:sz="20"/>
        </w:pBdr>
        <w:shd w:fill="FFF8E8" w:val="clear"/>
        <w:spacing w:after="40"/>
      </w:pPr>
      <w:r>
        <w:rPr>
          <w:rFonts w:ascii="Arial" w:cs="Arial" w:eastAsia="Arial" w:hAnsi="Arial"/>
          <w:color w:val="1A1A2E"/>
          <w:sz w:val="20"/>
          <w:szCs w:val="20"/>
        </w:rPr>
        <w:t xml:space="preserve">   évité par an, pour un coût de déploiement nul (version community).</w:t>
      </w:r>
    </w:p>
    <w:p>
      <w:pPr>
        <w:spacing w:after="200"/>
      </w:pPr>
    </w:p>
    <w:p>
      <w:r>
        <w:br w:type="page"/>
      </w:r>
    </w:p>
    <w:p>
      <w:pPr>
        <w:pStyle w:val="Heading1"/>
        <w:spacing w:after="200" w:before="480"/>
      </w:pPr>
      <w:r>
        <w:rPr>
          <w:rFonts w:ascii="Arial" w:cs="Arial" w:eastAsia="Arial" w:hAnsi="Arial"/>
          <w:b/>
          <w:bCs/>
          <w:color w:val="1B4F8A"/>
          <w:sz w:val="36"/>
          <w:szCs w:val="36"/>
        </w:rPr>
        <w:t xml:space="preserve">4. La vision : Velixa comme écosystème de gouvernance IA</w:t>
      </w:r>
    </w:p>
    <w:p>
      <w:pPr>
        <w:pStyle w:val="Heading2"/>
        <w:spacing w:after="140" w:before="320"/>
      </w:pPr>
      <w:r>
        <w:rPr>
          <w:rFonts w:ascii="Arial" w:cs="Arial" w:eastAsia="Arial" w:hAnsi="Arial"/>
          <w:b/>
          <w:bCs/>
          <w:color w:val="0D1B3E"/>
          <w:sz w:val="26"/>
          <w:szCs w:val="26"/>
        </w:rPr>
        <w:t xml:space="preserve">4.1 De la brique de sécurité à l'infrastructure de confiance</w:t>
      </w:r>
    </w:p>
    <w:p>
      <w:pPr>
        <w:spacing w:after="140" w:line="340"/>
        <w:jc w:val="both"/>
      </w:pPr>
      <w:r>
        <w:rPr>
          <w:rFonts w:ascii="Arial" w:cs="Arial" w:eastAsia="Arial" w:hAnsi="Arial"/>
          <w:b w:val="false"/>
          <w:bCs w:val="false"/>
          <w:i w:val="false"/>
          <w:iCs w:val="false"/>
          <w:color w:val="1A1A2E"/>
          <w:sz w:val="21"/>
          <w:szCs w:val="21"/>
        </w:rPr>
        <w:t xml:space="preserve">Velixa v1.1.0 est une brique de sécurité et de conformité. Robuste, opérationnelle, utile immédiatement. Mais la vision qui guide son développement est plus large : Velixa a vocation à devenir l'infrastructure de confiance IA de l'entreprise — la couche sur laquelle tout l'écosystème IA de l'organisation repose.</w:t>
      </w:r>
    </w:p>
    <w:p>
      <w:pPr>
        <w:spacing w:after="140" w:line="340"/>
        <w:jc w:val="both"/>
      </w:pPr>
      <w:r>
        <w:rPr>
          <w:rFonts w:ascii="Arial" w:cs="Arial" w:eastAsia="Arial" w:hAnsi="Arial"/>
          <w:b w:val="false"/>
          <w:bCs w:val="false"/>
          <w:i w:val="false"/>
          <w:iCs w:val="false"/>
          <w:color w:val="1A1A2E"/>
          <w:sz w:val="21"/>
          <w:szCs w:val="21"/>
        </w:rPr>
        <w:t xml:space="preserve">De la même façon que AWS est devenu l'infrastructure cloud, que Stripe est devenu l'infrastructure de paiement, que Cloudflare est devenu l'infrastructure réseau — Velixa ambitionne de devenir l'infrastructure de gouvernance IA. Un layer invisible, indispensable, sur lequel chaque usage IA de l'entreprise s'appuie naturellement.</w:t>
      </w:r>
    </w:p>
    <w:p>
      <w:pPr>
        <w:pBdr>
          <w:left w:val="single" w:color="0F7A56" w:sz="20" w:space="12"/>
        </w:pBdr>
        <w:spacing w:after="240" w:before="240"/>
        <w:ind w:left="480" w:right="480"/>
      </w:pPr>
      <w:r>
        <w:rPr>
          <w:rFonts w:ascii="Arial" w:cs="Arial" w:eastAsia="Arial" w:hAnsi="Arial"/>
          <w:b/>
          <w:bCs/>
          <w:i/>
          <w:iCs/>
          <w:color w:val="0D1B3E"/>
          <w:sz w:val="24"/>
          <w:szCs w:val="24"/>
        </w:rPr>
        <w:t xml:space="preserve">L'objectif n'est pas que Velixa soit un bon produit. L'objectif est que personne dans l'entreprise n'envisage d'utiliser l'IA sans que ça passe par Velixa.</w:t>
      </w:r>
    </w:p>
    <w:p>
      <w:pPr>
        <w:pStyle w:val="Heading2"/>
        <w:spacing w:after="140" w:before="320"/>
      </w:pPr>
      <w:r>
        <w:rPr>
          <w:rFonts w:ascii="Arial" w:cs="Arial" w:eastAsia="Arial" w:hAnsi="Arial"/>
          <w:b/>
          <w:bCs/>
          <w:color w:val="0D1B3E"/>
          <w:sz w:val="26"/>
          <w:szCs w:val="26"/>
        </w:rPr>
        <w:t xml:space="preserve">4.2 Les cinq dimensions de l'écosystème Velixa</w:t>
      </w:r>
    </w:p>
    <w:p>
      <w:pPr>
        <w:pStyle w:val="Heading3"/>
        <w:spacing w:after="100" w:before="220"/>
      </w:pPr>
      <w:r>
        <w:rPr>
          <w:rFonts w:ascii="Arial" w:cs="Arial" w:eastAsia="Arial" w:hAnsi="Arial"/>
          <w:b/>
          <w:bCs/>
          <w:color w:val="1B4F8A"/>
          <w:sz w:val="22"/>
          <w:szCs w:val="22"/>
        </w:rPr>
        <w:t xml:space="preserve">Dimension 1 — La plateforme technique ouverte</w:t>
      </w:r>
    </w:p>
    <w:p>
      <w:pPr>
        <w:spacing w:after="140" w:line="340"/>
        <w:jc w:val="both"/>
      </w:pPr>
      <w:r>
        <w:rPr>
          <w:rFonts w:ascii="Arial" w:cs="Arial" w:eastAsia="Arial" w:hAnsi="Arial"/>
          <w:b w:val="false"/>
          <w:bCs w:val="false"/>
          <w:i w:val="false"/>
          <w:iCs w:val="false"/>
          <w:color w:val="1A1A2E"/>
          <w:sz w:val="21"/>
          <w:szCs w:val="21"/>
        </w:rPr>
        <w:t xml:space="preserve">L'écosystème Velixa repose sur une API REST publique qui expose toutes ses fonctions — analyse de prompt, scoring de risque, détection de violations, gestion des agents — à n'importe quelle application tierce. Trois lignes de code suffisent pour intégrer Velixa dans une application existante via le SDK officiel PHP, Python ou JavaScript.</w:t>
      </w:r>
    </w:p>
    <w:p>
      <w:pPr>
        <w:spacing w:after="140" w:line="340"/>
        <w:jc w:val="both"/>
      </w:pPr>
      <w:r>
        <w:rPr>
          <w:rFonts w:ascii="Arial" w:cs="Arial" w:eastAsia="Arial" w:hAnsi="Arial"/>
          <w:b w:val="false"/>
          <w:bCs w:val="false"/>
          <w:i w:val="false"/>
          <w:iCs w:val="false"/>
          <w:color w:val="1A1A2E"/>
          <w:sz w:val="21"/>
          <w:szCs w:val="21"/>
        </w:rPr>
        <w:t xml:space="preserve">Le MCP Gateway (Model Context Protocol) placera Velixa au cœur du standard émergent des agents IA autonomes. Chaque agent qui utilise MCP passera automatiquement par Velixa — sans configuration, sans code supplémentaire.</w:t>
      </w:r>
    </w:p>
    <w:p>
      <w:pPr>
        <w:pStyle w:val="ListParagraph"/>
        <w:numPr>
          <w:ilvl w:val="0"/>
          <w:numId w:val="2"/>
        </w:numPr>
        <w:spacing w:after="80" w:line="320"/>
      </w:pPr>
      <w:r>
        <w:rPr>
          <w:rFonts w:ascii="Arial" w:cs="Arial" w:eastAsia="Arial" w:hAnsi="Arial"/>
          <w:color w:val="1A1A2E"/>
          <w:sz w:val="20"/>
          <w:szCs w:val="20"/>
        </w:rPr>
        <w:t xml:space="preserve">API REST publique — POST /scan, GET /agents, POST /report</w:t>
      </w:r>
    </w:p>
    <w:p>
      <w:pPr>
        <w:pStyle w:val="ListParagraph"/>
        <w:numPr>
          <w:ilvl w:val="0"/>
          <w:numId w:val="2"/>
        </w:numPr>
        <w:spacing w:after="80" w:line="320"/>
      </w:pPr>
      <w:r>
        <w:rPr>
          <w:rFonts w:ascii="Arial" w:cs="Arial" w:eastAsia="Arial" w:hAnsi="Arial"/>
          <w:color w:val="1A1A2E"/>
          <w:sz w:val="20"/>
          <w:szCs w:val="20"/>
        </w:rPr>
        <w:t xml:space="preserve">SDK PHP / Python / JavaScript — 3 lignes d'intégration</w:t>
      </w:r>
    </w:p>
    <w:p>
      <w:pPr>
        <w:pStyle w:val="ListParagraph"/>
        <w:numPr>
          <w:ilvl w:val="0"/>
          <w:numId w:val="2"/>
        </w:numPr>
        <w:spacing w:after="80" w:line="320"/>
      </w:pPr>
      <w:r>
        <w:rPr>
          <w:rFonts w:ascii="Arial" w:cs="Arial" w:eastAsia="Arial" w:hAnsi="Arial"/>
          <w:color w:val="1A1A2E"/>
          <w:sz w:val="20"/>
          <w:szCs w:val="20"/>
        </w:rPr>
        <w:t xml:space="preserve">MCP Gateway natif — standard émergent des agents IA autonomes</w:t>
      </w:r>
    </w:p>
    <w:p>
      <w:pPr>
        <w:pStyle w:val="ListParagraph"/>
        <w:numPr>
          <w:ilvl w:val="0"/>
          <w:numId w:val="2"/>
        </w:numPr>
        <w:spacing w:after="80" w:line="320"/>
      </w:pPr>
      <w:r>
        <w:rPr>
          <w:rFonts w:ascii="Arial" w:cs="Arial" w:eastAsia="Arial" w:hAnsi="Arial"/>
          <w:color w:val="1A1A2E"/>
          <w:sz w:val="20"/>
          <w:szCs w:val="20"/>
        </w:rPr>
        <w:t xml:space="preserve">Connecteurs natifs — SAP, Salesforce, ServiceNow, Microsoft 365</w:t>
      </w:r>
    </w:p>
    <w:p>
      <w:pPr>
        <w:pStyle w:val="ListParagraph"/>
        <w:numPr>
          <w:ilvl w:val="0"/>
          <w:numId w:val="2"/>
        </w:numPr>
        <w:spacing w:after="80" w:line="320"/>
      </w:pPr>
      <w:r>
        <w:rPr>
          <w:rFonts w:ascii="Arial" w:cs="Arial" w:eastAsia="Arial" w:hAnsi="Arial"/>
          <w:color w:val="1A1A2E"/>
          <w:sz w:val="20"/>
          <w:szCs w:val="20"/>
        </w:rPr>
        <w:t xml:space="preserve">Plugin IDE — gouvernance directement dans VS Code et JetBrains</w:t>
      </w:r>
    </w:p>
    <w:p>
      <w:pPr>
        <w:spacing w:after="160"/>
      </w:pPr>
    </w:p>
    <w:p>
      <w:pPr>
        <w:pStyle w:val="Heading3"/>
        <w:spacing w:after="100" w:before="220"/>
      </w:pPr>
      <w:r>
        <w:rPr>
          <w:rFonts w:ascii="Arial" w:cs="Arial" w:eastAsia="Arial" w:hAnsi="Arial"/>
          <w:b/>
          <w:bCs/>
          <w:color w:val="1B4F8A"/>
          <w:sz w:val="22"/>
          <w:szCs w:val="22"/>
        </w:rPr>
        <w:t xml:space="preserve">Dimension 2 — L'intelligence collective</w:t>
      </w:r>
    </w:p>
    <w:p>
      <w:pPr>
        <w:spacing w:after="140" w:line="340"/>
        <w:jc w:val="both"/>
      </w:pPr>
      <w:r>
        <w:rPr>
          <w:rFonts w:ascii="Arial" w:cs="Arial" w:eastAsia="Arial" w:hAnsi="Arial"/>
          <w:b w:val="false"/>
          <w:bCs w:val="false"/>
          <w:i w:val="false"/>
          <w:iCs w:val="false"/>
          <w:color w:val="1A1A2E"/>
          <w:sz w:val="21"/>
          <w:szCs w:val="21"/>
        </w:rPr>
        <w:t xml:space="preserve">La valeur de Velixa augmente avec le nombre d'utilisateurs. Velixa Intelligence est le mécanisme de partage anonyme des signatures d'attaque entre toutes les instances Velixa dans le monde — nouveaux patterns de jailbreak, nouvelles techniques d'injection, nouvelles méthodes d'exfiltration.</w:t>
      </w:r>
    </w:p>
    <w:p>
      <w:pPr>
        <w:spacing w:after="140" w:line="340"/>
        <w:jc w:val="both"/>
      </w:pPr>
      <w:r>
        <w:rPr>
          <w:rFonts w:ascii="Arial" w:cs="Arial" w:eastAsia="Arial" w:hAnsi="Arial"/>
          <w:b w:val="false"/>
          <w:bCs w:val="false"/>
          <w:i w:val="false"/>
          <w:iCs w:val="false"/>
          <w:color w:val="1A1A2E"/>
          <w:sz w:val="21"/>
          <w:szCs w:val="21"/>
        </w:rPr>
        <w:t xml:space="preserve">Chaque instance contribue de façon anonymisée. Chaque instance bénéficie de la protection collective. Plus il y a d'organisations utilisant Velixa, plus la protection de chacune est forte. C'est l'effet réseau appliqué à la cybersécurité IA.</w:t>
      </w:r>
    </w:p>
    <w:p>
      <w:pPr>
        <w:pStyle w:val="ListParagraph"/>
        <w:numPr>
          <w:ilvl w:val="0"/>
          <w:numId w:val="2"/>
        </w:numPr>
        <w:spacing w:after="80" w:line="320"/>
      </w:pPr>
      <w:r>
        <w:rPr>
          <w:rFonts w:ascii="Arial" w:cs="Arial" w:eastAsia="Arial" w:hAnsi="Arial"/>
          <w:color w:val="1A1A2E"/>
          <w:sz w:val="20"/>
          <w:szCs w:val="20"/>
        </w:rPr>
        <w:t xml:space="preserve">Threat sharing anonyme inter-instances</w:t>
      </w:r>
    </w:p>
    <w:p>
      <w:pPr>
        <w:pStyle w:val="ListParagraph"/>
        <w:numPr>
          <w:ilvl w:val="0"/>
          <w:numId w:val="2"/>
        </w:numPr>
        <w:spacing w:after="80" w:line="320"/>
      </w:pPr>
      <w:r>
        <w:rPr>
          <w:rFonts w:ascii="Arial" w:cs="Arial" w:eastAsia="Arial" w:hAnsi="Arial"/>
          <w:color w:val="1A1A2E"/>
          <w:sz w:val="20"/>
          <w:szCs w:val="20"/>
        </w:rPr>
        <w:t xml:space="preserve">Mise à jour automatique des signatures d'attaque</w:t>
      </w:r>
    </w:p>
    <w:p>
      <w:pPr>
        <w:pStyle w:val="ListParagraph"/>
        <w:numPr>
          <w:ilvl w:val="0"/>
          <w:numId w:val="2"/>
        </w:numPr>
        <w:spacing w:after="80" w:line="320"/>
      </w:pPr>
      <w:r>
        <w:rPr>
          <w:rFonts w:ascii="Arial" w:cs="Arial" w:eastAsia="Arial" w:hAnsi="Arial"/>
          <w:color w:val="1A1A2E"/>
          <w:sz w:val="20"/>
          <w:szCs w:val="20"/>
        </w:rPr>
        <w:t xml:space="preserve">Benchmark de maturité sectoriel (score anonymisé vs pairs)</w:t>
      </w:r>
    </w:p>
    <w:p>
      <w:pPr>
        <w:pStyle w:val="ListParagraph"/>
        <w:numPr>
          <w:ilvl w:val="0"/>
          <w:numId w:val="2"/>
        </w:numPr>
        <w:spacing w:after="80" w:line="320"/>
      </w:pPr>
      <w:r>
        <w:rPr>
          <w:rFonts w:ascii="Arial" w:cs="Arial" w:eastAsia="Arial" w:hAnsi="Arial"/>
          <w:color w:val="1A1A2E"/>
          <w:sz w:val="20"/>
          <w:szCs w:val="20"/>
        </w:rPr>
        <w:t xml:space="preserve">Velixa Score public — certification de maturité gouvernance IA</w:t>
      </w:r>
    </w:p>
    <w:p>
      <w:pPr>
        <w:spacing w:after="160"/>
      </w:pPr>
    </w:p>
    <w:p>
      <w:pPr>
        <w:pStyle w:val="Heading3"/>
        <w:spacing w:after="100" w:before="220"/>
      </w:pPr>
      <w:r>
        <w:rPr>
          <w:rFonts w:ascii="Arial" w:cs="Arial" w:eastAsia="Arial" w:hAnsi="Arial"/>
          <w:b/>
          <w:bCs/>
          <w:color w:val="1B4F8A"/>
          <w:sz w:val="22"/>
          <w:szCs w:val="22"/>
        </w:rPr>
        <w:t xml:space="preserve">Dimension 3 — L'écosystème partenaire</w:t>
      </w:r>
    </w:p>
    <w:p>
      <w:pPr>
        <w:spacing w:after="140" w:line="340"/>
        <w:jc w:val="both"/>
      </w:pPr>
      <w:r>
        <w:rPr>
          <w:rFonts w:ascii="Arial" w:cs="Arial" w:eastAsia="Arial" w:hAnsi="Arial"/>
          <w:b w:val="false"/>
          <w:bCs w:val="false"/>
          <w:i w:val="false"/>
          <w:iCs w:val="false"/>
          <w:color w:val="1A1A2E"/>
          <w:sz w:val="21"/>
          <w:szCs w:val="21"/>
        </w:rPr>
        <w:t xml:space="preserve">Velixa ne sera pas distribué uniquement en direct. Le programme MSP (Managed Service Provider) permet aux intégrateurs et ESN de déployer Velixa chez leurs clients sous leur propre marque, avec leur propre support, en bénéficiant de l'infrastructure Velixa sous-jacente. Modèle OEM — comme ce que Twilio fait pour la communication, Stripe pour le paiement.</w:t>
      </w:r>
    </w:p>
    <w:p>
      <w:pPr>
        <w:spacing w:after="140" w:line="340"/>
        <w:jc w:val="both"/>
      </w:pPr>
      <w:r>
        <w:rPr>
          <w:rFonts w:ascii="Arial" w:cs="Arial" w:eastAsia="Arial" w:hAnsi="Arial"/>
          <w:b w:val="false"/>
          <w:bCs w:val="false"/>
          <w:i w:val="false"/>
          <w:iCs w:val="false"/>
          <w:color w:val="1A1A2E"/>
          <w:sz w:val="21"/>
          <w:szCs w:val="21"/>
        </w:rPr>
        <w:t xml:space="preserve">La marketplace de règles permettra à la communauté de partager des règles de conformité sectorielles — règles finance DORA, règles santé HDS, règles secteur public RGS — certifiées et distribuées via Velixa.</w:t>
      </w:r>
    </w:p>
    <w:p>
      <w:pPr>
        <w:pStyle w:val="ListParagraph"/>
        <w:numPr>
          <w:ilvl w:val="0"/>
          <w:numId w:val="2"/>
        </w:numPr>
        <w:spacing w:after="80" w:line="320"/>
      </w:pPr>
      <w:r>
        <w:rPr>
          <w:rFonts w:ascii="Arial" w:cs="Arial" w:eastAsia="Arial" w:hAnsi="Arial"/>
          <w:color w:val="1A1A2E"/>
          <w:sz w:val="20"/>
          <w:szCs w:val="20"/>
        </w:rPr>
        <w:t xml:space="preserve">Programme MSP / revendeur avec modèle OEM</w:t>
      </w:r>
    </w:p>
    <w:p>
      <w:pPr>
        <w:pStyle w:val="ListParagraph"/>
        <w:numPr>
          <w:ilvl w:val="0"/>
          <w:numId w:val="2"/>
        </w:numPr>
        <w:spacing w:after="80" w:line="320"/>
      </w:pPr>
      <w:r>
        <w:rPr>
          <w:rFonts w:ascii="Arial" w:cs="Arial" w:eastAsia="Arial" w:hAnsi="Arial"/>
          <w:color w:val="1A1A2E"/>
          <w:sz w:val="20"/>
          <w:szCs w:val="20"/>
        </w:rPr>
        <w:t xml:space="preserve">Marketplace de règles sectorielles communautaires</w:t>
      </w:r>
    </w:p>
    <w:p>
      <w:pPr>
        <w:pStyle w:val="ListParagraph"/>
        <w:numPr>
          <w:ilvl w:val="0"/>
          <w:numId w:val="2"/>
        </w:numPr>
        <w:spacing w:after="80" w:line="320"/>
      </w:pPr>
      <w:r>
        <w:rPr>
          <w:rFonts w:ascii="Arial" w:cs="Arial" w:eastAsia="Arial" w:hAnsi="Arial"/>
          <w:color w:val="1A1A2E"/>
          <w:sz w:val="20"/>
          <w:szCs w:val="20"/>
        </w:rPr>
        <w:t xml:space="preserve">Certification 'Powered by Velixa' pour les éditeurs</w:t>
      </w:r>
    </w:p>
    <w:p>
      <w:pPr>
        <w:pStyle w:val="ListParagraph"/>
        <w:numPr>
          <w:ilvl w:val="0"/>
          <w:numId w:val="2"/>
        </w:numPr>
        <w:spacing w:after="80" w:line="320"/>
      </w:pPr>
      <w:r>
        <w:rPr>
          <w:rFonts w:ascii="Arial" w:cs="Arial" w:eastAsia="Arial" w:hAnsi="Arial"/>
          <w:color w:val="1A1A2E"/>
          <w:sz w:val="20"/>
          <w:szCs w:val="20"/>
        </w:rPr>
        <w:t xml:space="preserve">API d'audit pour les cabinets de conseil en conformité</w:t>
      </w:r>
    </w:p>
    <w:p>
      <w:pPr>
        <w:spacing w:after="160"/>
      </w:pPr>
    </w:p>
    <w:p>
      <w:pPr>
        <w:pStyle w:val="Heading3"/>
        <w:spacing w:after="100" w:before="220"/>
      </w:pPr>
      <w:r>
        <w:rPr>
          <w:rFonts w:ascii="Arial" w:cs="Arial" w:eastAsia="Arial" w:hAnsi="Arial"/>
          <w:b/>
          <w:bCs/>
          <w:color w:val="1B4F8A"/>
          <w:sz w:val="22"/>
          <w:szCs w:val="22"/>
        </w:rPr>
        <w:t xml:space="preserve">Dimension 4 — La gouvernance intelligente</w:t>
      </w:r>
    </w:p>
    <w:p>
      <w:pPr>
        <w:spacing w:after="140" w:line="340"/>
        <w:jc w:val="both"/>
      </w:pPr>
      <w:r>
        <w:rPr>
          <w:rFonts w:ascii="Arial" w:cs="Arial" w:eastAsia="Arial" w:hAnsi="Arial"/>
          <w:b w:val="false"/>
          <w:bCs w:val="false"/>
          <w:i w:val="false"/>
          <w:iCs w:val="false"/>
          <w:color w:val="1A1A2E"/>
          <w:sz w:val="21"/>
          <w:szCs w:val="21"/>
        </w:rPr>
        <w:t xml:space="preserve">La prochaine génération de fonctionnalités Velixa introduit une IA de gouvernance — phi3 qui analyse non plus les prompts mais le comportement global des agents et des utilisateurs dans le temps.</w:t>
      </w:r>
    </w:p>
    <w:p>
      <w:pPr>
        <w:pStyle w:val="ListParagraph"/>
        <w:numPr>
          <w:ilvl w:val="0"/>
          <w:numId w:val="2"/>
        </w:numPr>
        <w:spacing w:after="80" w:line="320"/>
      </w:pPr>
      <w:r>
        <w:rPr>
          <w:rFonts w:ascii="Arial" w:cs="Arial" w:eastAsia="Arial" w:hAnsi="Arial"/>
          <w:color w:val="1A1A2E"/>
          <w:sz w:val="20"/>
          <w:szCs w:val="20"/>
        </w:rPr>
        <w:t xml:space="preserve">Profil comportemental utilisateur — règles adaptatives selon historique</w:t>
      </w:r>
    </w:p>
    <w:p>
      <w:pPr>
        <w:pStyle w:val="ListParagraph"/>
        <w:numPr>
          <w:ilvl w:val="0"/>
          <w:numId w:val="2"/>
        </w:numPr>
        <w:spacing w:after="80" w:line="320"/>
      </w:pPr>
      <w:r>
        <w:rPr>
          <w:rFonts w:ascii="Arial" w:cs="Arial" w:eastAsia="Arial" w:hAnsi="Arial"/>
          <w:color w:val="1A1A2E"/>
          <w:sz w:val="20"/>
          <w:szCs w:val="20"/>
        </w:rPr>
        <w:t xml:space="preserve">Détection de collusion entre agents — exfiltration progressive multi-agents</w:t>
      </w:r>
    </w:p>
    <w:p>
      <w:pPr>
        <w:pStyle w:val="ListParagraph"/>
        <w:numPr>
          <w:ilvl w:val="0"/>
          <w:numId w:val="2"/>
        </w:numPr>
        <w:spacing w:after="80" w:line="320"/>
      </w:pPr>
      <w:r>
        <w:rPr>
          <w:rFonts w:ascii="Arial" w:cs="Arial" w:eastAsia="Arial" w:hAnsi="Arial"/>
          <w:color w:val="1A1A2E"/>
          <w:sz w:val="20"/>
          <w:szCs w:val="20"/>
        </w:rPr>
        <w:t xml:space="preserve">Prédiction de risque futur — alertes avant que les violations se produisent</w:t>
      </w:r>
    </w:p>
    <w:p>
      <w:pPr>
        <w:pStyle w:val="ListParagraph"/>
        <w:numPr>
          <w:ilvl w:val="0"/>
          <w:numId w:val="2"/>
        </w:numPr>
        <w:spacing w:after="80" w:line="320"/>
      </w:pPr>
      <w:r>
        <w:rPr>
          <w:rFonts w:ascii="Arial" w:cs="Arial" w:eastAsia="Arial" w:hAnsi="Arial"/>
          <w:color w:val="1A1A2E"/>
          <w:sz w:val="20"/>
          <w:szCs w:val="20"/>
        </w:rPr>
        <w:t xml:space="preserve">Recommandations de règles par phi3 — ajustement automatique des seuils</w:t>
      </w:r>
    </w:p>
    <w:p>
      <w:pPr>
        <w:pStyle w:val="ListParagraph"/>
        <w:numPr>
          <w:ilvl w:val="0"/>
          <w:numId w:val="2"/>
        </w:numPr>
        <w:spacing w:after="80" w:line="320"/>
      </w:pPr>
      <w:r>
        <w:rPr>
          <w:rFonts w:ascii="Arial" w:cs="Arial" w:eastAsia="Arial" w:hAnsi="Arial"/>
          <w:color w:val="1A1A2E"/>
          <w:sz w:val="20"/>
          <w:szCs w:val="20"/>
        </w:rPr>
        <w:t xml:space="preserve">DPO virtuel — assistance réglementaire en langage naturel</w:t>
      </w:r>
    </w:p>
    <w:p>
      <w:pPr>
        <w:pStyle w:val="ListParagraph"/>
        <w:numPr>
          <w:ilvl w:val="0"/>
          <w:numId w:val="2"/>
        </w:numPr>
        <w:spacing w:after="80" w:line="320"/>
      </w:pPr>
      <w:r>
        <w:rPr>
          <w:rFonts w:ascii="Arial" w:cs="Arial" w:eastAsia="Arial" w:hAnsi="Arial"/>
          <w:color w:val="1A1A2E"/>
          <w:sz w:val="20"/>
          <w:szCs w:val="20"/>
        </w:rPr>
        <w:t xml:space="preserve">Simulation d'audit par l'autorité de protection des données (APD) — préparation aux contrôles réglementaires</w:t>
      </w:r>
    </w:p>
    <w:p>
      <w:pPr>
        <w:pStyle w:val="ListParagraph"/>
        <w:numPr>
          <w:ilvl w:val="0"/>
          <w:numId w:val="2"/>
        </w:numPr>
        <w:spacing w:after="80" w:line="320"/>
      </w:pPr>
      <w:r>
        <w:rPr>
          <w:rFonts w:ascii="Arial" w:cs="Arial" w:eastAsia="Arial" w:hAnsi="Arial"/>
          <w:color w:val="1A1A2E"/>
          <w:sz w:val="20"/>
          <w:szCs w:val="20"/>
        </w:rPr>
        <w:t xml:space="preserve">Rapport narratif automatique — logs techniques → prose COMEX</w:t>
      </w:r>
    </w:p>
    <w:p>
      <w:pPr>
        <w:spacing w:after="160"/>
      </w:pPr>
    </w:p>
    <w:p>
      <w:pPr>
        <w:pStyle w:val="Heading3"/>
        <w:spacing w:after="100" w:before="220"/>
      </w:pPr>
      <w:r>
        <w:rPr>
          <w:rFonts w:ascii="Arial" w:cs="Arial" w:eastAsia="Arial" w:hAnsi="Arial"/>
          <w:b/>
          <w:bCs/>
          <w:color w:val="1B4F8A"/>
          <w:sz w:val="22"/>
          <w:szCs w:val="22"/>
        </w:rPr>
        <w:t xml:space="preserve">Dimension 5 — La souveraineté numérique</w:t>
      </w:r>
    </w:p>
    <w:p>
      <w:pPr>
        <w:spacing w:after="140" w:line="340"/>
        <w:jc w:val="both"/>
      </w:pPr>
      <w:r>
        <w:rPr>
          <w:rFonts w:ascii="Arial" w:cs="Arial" w:eastAsia="Arial" w:hAnsi="Arial"/>
          <w:b w:val="false"/>
          <w:bCs w:val="false"/>
          <w:i w:val="false"/>
          <w:iCs w:val="false"/>
          <w:color w:val="1A1A2E"/>
          <w:sz w:val="21"/>
          <w:szCs w:val="21"/>
        </w:rPr>
        <w:t xml:space="preserve">Alors que les réglementations sur la localisation des données se durcissent partout en Europe, Velixa offre une réponse concrète à la question de la souveraineté numérique IA.</w:t>
      </w:r>
    </w:p>
    <w:p>
      <w:pPr>
        <w:pStyle w:val="ListParagraph"/>
        <w:numPr>
          <w:ilvl w:val="0"/>
          <w:numId w:val="2"/>
        </w:numPr>
        <w:spacing w:after="80" w:line="320"/>
      </w:pPr>
      <w:r>
        <w:rPr>
          <w:rFonts w:ascii="Arial" w:cs="Arial" w:eastAsia="Arial" w:hAnsi="Arial"/>
          <w:color w:val="1A1A2E"/>
          <w:sz w:val="20"/>
          <w:szCs w:val="20"/>
        </w:rPr>
        <w:t xml:space="preserve">Cartographie de souveraineté — pays d'hébergement de chaque LLM utilisé</w:t>
      </w:r>
    </w:p>
    <w:p>
      <w:pPr>
        <w:pStyle w:val="ListParagraph"/>
        <w:numPr>
          <w:ilvl w:val="0"/>
          <w:numId w:val="2"/>
        </w:numPr>
        <w:spacing w:after="80" w:line="320"/>
      </w:pPr>
      <w:r>
        <w:rPr>
          <w:rFonts w:ascii="Arial" w:cs="Arial" w:eastAsia="Arial" w:hAnsi="Arial"/>
          <w:color w:val="1A1A2E"/>
          <w:sz w:val="20"/>
          <w:szCs w:val="20"/>
        </w:rPr>
        <w:t xml:space="preserve">Check CLOUD Act automatique — identification des risques de divulgation US</w:t>
      </w:r>
    </w:p>
    <w:p>
      <w:pPr>
        <w:pStyle w:val="ListParagraph"/>
        <w:numPr>
          <w:ilvl w:val="0"/>
          <w:numId w:val="2"/>
        </w:numPr>
        <w:spacing w:after="80" w:line="320"/>
      </w:pPr>
      <w:r>
        <w:rPr>
          <w:rFonts w:ascii="Arial" w:cs="Arial" w:eastAsia="Arial" w:hAnsi="Arial"/>
          <w:color w:val="1A1A2E"/>
          <w:sz w:val="20"/>
          <w:szCs w:val="20"/>
        </w:rPr>
        <w:t xml:space="preserve">Mode souveraineté totale — blocage de tout appel externe, phi3 uniquement</w:t>
      </w:r>
    </w:p>
    <w:p>
      <w:pPr>
        <w:pStyle w:val="ListParagraph"/>
        <w:numPr>
          <w:ilvl w:val="0"/>
          <w:numId w:val="2"/>
        </w:numPr>
        <w:spacing w:after="80" w:line="320"/>
      </w:pPr>
      <w:r>
        <w:rPr>
          <w:rFonts w:ascii="Arial" w:cs="Arial" w:eastAsia="Arial" w:hAnsi="Arial"/>
          <w:color w:val="1A1A2E"/>
          <w:sz w:val="20"/>
          <w:szCs w:val="20"/>
        </w:rPr>
        <w:t xml:space="preserve">Conformité par juridiction — RGPD France, DSGVO Allemagne, DSA...</w:t>
      </w:r>
    </w:p>
    <w:p>
      <w:pPr>
        <w:pStyle w:val="ListParagraph"/>
        <w:numPr>
          <w:ilvl w:val="0"/>
          <w:numId w:val="2"/>
        </w:numPr>
        <w:spacing w:after="80" w:line="320"/>
      </w:pPr>
      <w:r>
        <w:rPr>
          <w:rFonts w:ascii="Arial" w:cs="Arial" w:eastAsia="Arial" w:hAnsi="Arial"/>
          <w:color w:val="1A1A2E"/>
          <w:sz w:val="20"/>
          <w:szCs w:val="20"/>
        </w:rPr>
        <w:t xml:space="preserve">Attestation inter-partenaires — preuve de conformité pour les appels d'offres</w:t>
      </w:r>
    </w:p>
    <w:p>
      <w:r>
        <w:br w:type="page"/>
      </w:r>
    </w:p>
    <w:p>
      <w:pPr>
        <w:pStyle w:val="Heading1"/>
        <w:spacing w:after="200" w:before="480"/>
      </w:pPr>
      <w:r>
        <w:rPr>
          <w:rFonts w:ascii="Arial" w:cs="Arial" w:eastAsia="Arial" w:hAnsi="Arial"/>
          <w:b/>
          <w:bCs/>
          <w:color w:val="1B4F8A"/>
          <w:sz w:val="36"/>
          <w:szCs w:val="36"/>
        </w:rPr>
        <w:t xml:space="preserve">5. Feuille de route — Vers l'écosystème</w:t>
      </w:r>
    </w:p>
    <w:p>
      <w:pPr>
        <w:pStyle w:val="Heading2"/>
        <w:spacing w:after="140" w:before="320"/>
      </w:pPr>
      <w:r>
        <w:rPr>
          <w:rFonts w:ascii="Arial" w:cs="Arial" w:eastAsia="Arial" w:hAnsi="Arial"/>
          <w:b/>
          <w:bCs/>
          <w:color w:val="0D1B3E"/>
          <w:sz w:val="26"/>
          <w:szCs w:val="26"/>
        </w:rPr>
        <w:t xml:space="preserve">5.1 Vision par vagues de développement</w:t>
      </w:r>
    </w:p>
    <w:p>
      <w:pPr>
        <w:spacing w:after="140" w:line="340"/>
        <w:jc w:val="both"/>
      </w:pPr>
      <w:r>
        <w:rPr>
          <w:rFonts w:ascii="Arial" w:cs="Arial" w:eastAsia="Arial" w:hAnsi="Arial"/>
          <w:b w:val="false"/>
          <w:bCs w:val="false"/>
          <w:i w:val="false"/>
          <w:iCs w:val="false"/>
          <w:color w:val="1A1A2E"/>
          <w:sz w:val="21"/>
          <w:szCs w:val="21"/>
        </w:rPr>
        <w:t xml:space="preserve">La roadmap Velixa est structurée en vagues de dépendance technique — chaque vague s'appuie sur la stabilité de la précédente. Pas de fonctionnalité lancée avant que les fondations soient solides.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400"/>
        <w:gridCol w:w="2160"/>
      </w:tblGrid>
      <w:tr>
        <w:tc>
          <w:tcPr>
            <w:tcW w:type="dxa" w:w="16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Vague</w:t>
            </w:r>
          </w:p>
        </w:tc>
        <w:tc>
          <w:tcPr>
            <w:tcW w:type="dxa" w:w="42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Périmètre</w:t>
            </w:r>
          </w:p>
        </w:tc>
        <w:tc>
          <w:tcPr>
            <w:tcW w:type="dxa" w:w="14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Statut</w:t>
            </w:r>
          </w:p>
        </w:tc>
        <w:tc>
          <w:tcPr>
            <w:tcW w:type="dxa" w:w="216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Horizon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V1 — Socle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Pipeline sécurité, webhooks, ROI, consentements, quota, droit à l'oubli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Livré</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Q1 2026</w:t>
            </w:r>
          </w:p>
        </w:tc>
      </w:tr>
      <w:tr>
        <w:tc>
          <w:tcPr>
            <w:tcW w:type="dxa" w:w="1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V2 — Gouvernance</w:t>
            </w:r>
          </w:p>
        </w:tc>
        <w:tc>
          <w:tcPr>
            <w:tcW w:type="dxa" w:w="42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Tokenisation PII, cache, HITL, Legal Hold, profils métier, compression</w:t>
            </w:r>
          </w:p>
        </w:tc>
        <w:tc>
          <w:tcPr>
            <w:tcW w:type="dxa" w:w="14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Livré</w:t>
            </w:r>
          </w:p>
        </w:tc>
        <w:tc>
          <w:tcPr>
            <w:tcW w:type="dxa" w:w="21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Q1 2026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V3 — IA locale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phi3 outils métier, tamper-proof logs, séparation des pouvoirs, cartographie souveraineté</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En cours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Q2 2026</w:t>
            </w:r>
          </w:p>
        </w:tc>
      </w:tr>
      <w:tr>
        <w:tc>
          <w:tcPr>
            <w:tcW w:type="dxa" w:w="16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V4 — Architecture</w:t>
            </w:r>
          </w:p>
        </w:tc>
        <w:tc>
          <w:tcPr>
            <w:tcW w:type="dxa" w:w="42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API REST publique, multi-tenant, MCP Gateway, programme MSP</w:t>
            </w:r>
          </w:p>
        </w:tc>
        <w:tc>
          <w:tcPr>
            <w:tcW w:type="dxa" w:w="14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 Planifié</w:t>
            </w:r>
          </w:p>
        </w:tc>
        <w:tc>
          <w:tcPr>
            <w:tcW w:type="dxa" w:w="21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Q3 2026</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V5 — Écosystème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SDK, marketplace règles, Velixa Intelligence, certification, Velixa Score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 Planifié</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Q4 2026 - 2027</w:t>
            </w:r>
          </w:p>
        </w:tc>
      </w:tr>
    </w:tbl>
    <w:p>
      <w:pPr>
        <w:spacing w:after="240"/>
      </w:pPr>
    </w:p>
    <w:p>
      <w:pPr>
        <w:pStyle w:val="Heading2"/>
        <w:spacing w:after="140" w:before="320"/>
      </w:pPr>
      <w:r>
        <w:rPr>
          <w:rFonts w:ascii="Arial" w:cs="Arial" w:eastAsia="Arial" w:hAnsi="Arial"/>
          <w:b/>
          <w:bCs/>
          <w:color w:val="0D1B3E"/>
          <w:sz w:val="26"/>
          <w:szCs w:val="26"/>
        </w:rPr>
        <w:t xml:space="preserve">5.2 Fonctionnalités V3 (en cours de développement)</w:t>
      </w:r>
    </w:p>
    <w:p>
      <w:pPr>
        <w:pStyle w:val="ListParagraph"/>
        <w:numPr>
          <w:ilvl w:val="0"/>
          <w:numId w:val="2"/>
        </w:numPr>
        <w:spacing w:after="80" w:line="320"/>
      </w:pPr>
      <w:r>
        <w:rPr>
          <w:rFonts w:ascii="Arial" w:cs="Arial" w:eastAsia="Arial" w:hAnsi="Arial"/>
          <w:color w:val="1A1A2E"/>
          <w:sz w:val="20"/>
          <w:szCs w:val="20"/>
        </w:rPr>
        <w:t xml:space="preserve">Tamper-proof logging — hash chaîné sur chaque écriture de log (preuve mathématique d'intégrité)</w:t>
      </w:r>
    </w:p>
    <w:p>
      <w:pPr>
        <w:pStyle w:val="ListParagraph"/>
        <w:numPr>
          <w:ilvl w:val="0"/>
          <w:numId w:val="2"/>
        </w:numPr>
        <w:spacing w:after="80" w:line="320"/>
      </w:pPr>
      <w:r>
        <w:rPr>
          <w:rFonts w:ascii="Arial" w:cs="Arial" w:eastAsia="Arial" w:hAnsi="Arial"/>
          <w:color w:val="1A1A2E"/>
          <w:sz w:val="20"/>
          <w:szCs w:val="20"/>
        </w:rPr>
        <w:t xml:space="preserve">Séparation des pouvoirs — rôle 'auditeur' : accès logs sans accès configuration</w:t>
      </w:r>
    </w:p>
    <w:p>
      <w:pPr>
        <w:pStyle w:val="ListParagraph"/>
        <w:numPr>
          <w:ilvl w:val="0"/>
          <w:numId w:val="2"/>
        </w:numPr>
        <w:spacing w:after="80" w:line="320"/>
      </w:pPr>
      <w:r>
        <w:rPr>
          <w:rFonts w:ascii="Arial" w:cs="Arial" w:eastAsia="Arial" w:hAnsi="Arial"/>
          <w:color w:val="1A1A2E"/>
          <w:sz w:val="20"/>
          <w:szCs w:val="20"/>
        </w:rPr>
        <w:t xml:space="preserve">Cartographie souveraineté LLM — pays hébergement + check CLOUD Act en temps réel</w:t>
      </w:r>
    </w:p>
    <w:p>
      <w:pPr>
        <w:pStyle w:val="ListParagraph"/>
        <w:numPr>
          <w:ilvl w:val="0"/>
          <w:numId w:val="2"/>
        </w:numPr>
        <w:spacing w:after="80" w:line="320"/>
      </w:pPr>
      <w:r>
        <w:rPr>
          <w:rFonts w:ascii="Arial" w:cs="Arial" w:eastAsia="Arial" w:hAnsi="Arial"/>
          <w:color w:val="1A1A2E"/>
          <w:sz w:val="20"/>
          <w:szCs w:val="20"/>
        </w:rPr>
        <w:t xml:space="preserve">Calculateur ROI amendes — valorisation de chaque violation bloquée en euros</w:t>
      </w:r>
    </w:p>
    <w:p>
      <w:pPr>
        <w:pStyle w:val="ListParagraph"/>
        <w:numPr>
          <w:ilvl w:val="0"/>
          <w:numId w:val="2"/>
        </w:numPr>
        <w:spacing w:after="80" w:line="320"/>
      </w:pPr>
      <w:r>
        <w:rPr>
          <w:rFonts w:ascii="Arial" w:cs="Arial" w:eastAsia="Arial" w:hAnsi="Arial"/>
          <w:color w:val="1A1A2E"/>
          <w:sz w:val="20"/>
          <w:szCs w:val="20"/>
        </w:rPr>
        <w:t xml:space="preserve">Profil comportemental utilisateur — score de confiance dynamique, règles adaptatives</w:t>
      </w:r>
    </w:p>
    <w:p>
      <w:pPr>
        <w:pStyle w:val="ListParagraph"/>
        <w:numPr>
          <w:ilvl w:val="0"/>
          <w:numId w:val="2"/>
        </w:numPr>
        <w:spacing w:after="80" w:line="320"/>
      </w:pPr>
      <w:r>
        <w:rPr>
          <w:rFonts w:ascii="Arial" w:cs="Arial" w:eastAsia="Arial" w:hAnsi="Arial"/>
          <w:color w:val="1A1A2E"/>
          <w:sz w:val="20"/>
          <w:szCs w:val="20"/>
        </w:rPr>
        <w:t xml:space="preserve">Détection shadow IA — identification des appels LLM non déclarés dans l'infrastructure</w:t>
      </w:r>
    </w:p>
    <w:p>
      <w:pPr>
        <w:spacing w:after="160"/>
      </w:pPr>
    </w:p>
    <w:p>
      <w:pPr>
        <w:pStyle w:val="Heading2"/>
        <w:spacing w:after="140" w:before="320"/>
      </w:pPr>
      <w:r>
        <w:rPr>
          <w:rFonts w:ascii="Arial" w:cs="Arial" w:eastAsia="Arial" w:hAnsi="Arial"/>
          <w:b/>
          <w:bCs/>
          <w:color w:val="0D1B3E"/>
          <w:sz w:val="26"/>
          <w:szCs w:val="26"/>
        </w:rPr>
        <w:t xml:space="preserve">5.3 Fonctionnalités V4 — L'ouverture de la plateforme</w:t>
      </w:r>
    </w:p>
    <w:p>
      <w:pPr>
        <w:pStyle w:val="ListParagraph"/>
        <w:numPr>
          <w:ilvl w:val="0"/>
          <w:numId w:val="2"/>
        </w:numPr>
        <w:spacing w:after="80" w:line="320"/>
      </w:pPr>
      <w:r>
        <w:rPr>
          <w:rFonts w:ascii="Arial" w:cs="Arial" w:eastAsia="Arial" w:hAnsi="Arial"/>
          <w:color w:val="1A1A2E"/>
          <w:sz w:val="20"/>
          <w:szCs w:val="20"/>
        </w:rPr>
        <w:t xml:space="preserve">API REST publique Velixa — POST /scan, GET /report, POST /agent — ouverture aux intégrateurs</w:t>
      </w:r>
    </w:p>
    <w:p>
      <w:pPr>
        <w:pStyle w:val="ListParagraph"/>
        <w:numPr>
          <w:ilvl w:val="0"/>
          <w:numId w:val="2"/>
        </w:numPr>
        <w:spacing w:after="80" w:line="320"/>
      </w:pPr>
      <w:r>
        <w:rPr>
          <w:rFonts w:ascii="Arial" w:cs="Arial" w:eastAsia="Arial" w:hAnsi="Arial"/>
          <w:color w:val="1A1A2E"/>
          <w:sz w:val="20"/>
          <w:szCs w:val="20"/>
        </w:rPr>
        <w:t xml:space="preserve">SDK officiel PHP / Python / JavaScript — 3 lignes d'intégration dans n'importe quelle app</w:t>
      </w:r>
    </w:p>
    <w:p>
      <w:pPr>
        <w:pStyle w:val="ListParagraph"/>
        <w:numPr>
          <w:ilvl w:val="0"/>
          <w:numId w:val="2"/>
        </w:numPr>
        <w:spacing w:after="80" w:line="320"/>
      </w:pPr>
      <w:r>
        <w:rPr>
          <w:rFonts w:ascii="Arial" w:cs="Arial" w:eastAsia="Arial" w:hAnsi="Arial"/>
          <w:color w:val="1A1A2E"/>
          <w:sz w:val="20"/>
          <w:szCs w:val="20"/>
        </w:rPr>
        <w:t xml:space="preserve">MCP Gateway — point d'entrée universel pour tous les agents Model Context Protocol</w:t>
      </w:r>
    </w:p>
    <w:p>
      <w:pPr>
        <w:pStyle w:val="ListParagraph"/>
        <w:numPr>
          <w:ilvl w:val="0"/>
          <w:numId w:val="2"/>
        </w:numPr>
        <w:spacing w:after="80" w:line="320"/>
      </w:pPr>
      <w:r>
        <w:rPr>
          <w:rFonts w:ascii="Arial" w:cs="Arial" w:eastAsia="Arial" w:hAnsi="Arial"/>
          <w:color w:val="1A1A2E"/>
          <w:sz w:val="20"/>
          <w:szCs w:val="20"/>
        </w:rPr>
        <w:t xml:space="preserve">Multi-tenant — isolation complète des données par organisation — base du SaaS</w:t>
      </w:r>
    </w:p>
    <w:p>
      <w:pPr>
        <w:pStyle w:val="ListParagraph"/>
        <w:numPr>
          <w:ilvl w:val="0"/>
          <w:numId w:val="2"/>
        </w:numPr>
        <w:spacing w:after="80" w:line="320"/>
      </w:pPr>
      <w:r>
        <w:rPr>
          <w:rFonts w:ascii="Arial" w:cs="Arial" w:eastAsia="Arial" w:hAnsi="Arial"/>
          <w:color w:val="1A1A2E"/>
          <w:sz w:val="20"/>
          <w:szCs w:val="20"/>
        </w:rPr>
        <w:t xml:space="preserve">Programme MSP / revendeur — modèle OEM pour les intégrateurs et ESN</w:t>
      </w:r>
    </w:p>
    <w:p>
      <w:pPr>
        <w:spacing w:after="160"/>
      </w:pPr>
    </w:p>
    <w:p>
      <w:pPr>
        <w:pStyle w:val="Heading2"/>
        <w:spacing w:after="140" w:before="320"/>
      </w:pPr>
      <w:r>
        <w:rPr>
          <w:rFonts w:ascii="Arial" w:cs="Arial" w:eastAsia="Arial" w:hAnsi="Arial"/>
          <w:b/>
          <w:bCs/>
          <w:color w:val="0D1B3E"/>
          <w:sz w:val="26"/>
          <w:szCs w:val="26"/>
        </w:rPr>
        <w:t xml:space="preserve">5.4 Fonctionnalités V5 — L'écosystème complet</w:t>
      </w:r>
    </w:p>
    <w:p>
      <w:pPr>
        <w:pStyle w:val="ListParagraph"/>
        <w:numPr>
          <w:ilvl w:val="0"/>
          <w:numId w:val="2"/>
        </w:numPr>
        <w:spacing w:after="80" w:line="320"/>
      </w:pPr>
      <w:r>
        <w:rPr>
          <w:rFonts w:ascii="Arial" w:cs="Arial" w:eastAsia="Arial" w:hAnsi="Arial"/>
          <w:color w:val="1A1A2E"/>
          <w:sz w:val="20"/>
          <w:szCs w:val="20"/>
        </w:rPr>
        <w:t xml:space="preserve">Marketplace de règles sectorielles — communauté contributive, certification Velixa</w:t>
      </w:r>
    </w:p>
    <w:p>
      <w:pPr>
        <w:pStyle w:val="ListParagraph"/>
        <w:numPr>
          <w:ilvl w:val="0"/>
          <w:numId w:val="2"/>
        </w:numPr>
        <w:spacing w:after="80" w:line="320"/>
      </w:pPr>
      <w:r>
        <w:rPr>
          <w:rFonts w:ascii="Arial" w:cs="Arial" w:eastAsia="Arial" w:hAnsi="Arial"/>
          <w:color w:val="1A1A2E"/>
          <w:sz w:val="20"/>
          <w:szCs w:val="20"/>
        </w:rPr>
        <w:t xml:space="preserve">Velixa Intelligence — threat sharing anonyme inter-instances, protection collective</w:t>
      </w:r>
    </w:p>
    <w:p>
      <w:pPr>
        <w:pStyle w:val="ListParagraph"/>
        <w:numPr>
          <w:ilvl w:val="0"/>
          <w:numId w:val="2"/>
        </w:numPr>
        <w:spacing w:after="80" w:line="320"/>
      </w:pPr>
      <w:r>
        <w:rPr>
          <w:rFonts w:ascii="Arial" w:cs="Arial" w:eastAsia="Arial" w:hAnsi="Arial"/>
          <w:color w:val="1A1A2E"/>
          <w:sz w:val="20"/>
          <w:szCs w:val="20"/>
        </w:rPr>
        <w:t xml:space="preserve">Velixa Score public — certification de maturité gouvernance IA pour les appels d'offres</w:t>
      </w:r>
    </w:p>
    <w:p>
      <w:pPr>
        <w:pStyle w:val="ListParagraph"/>
        <w:numPr>
          <w:ilvl w:val="0"/>
          <w:numId w:val="2"/>
        </w:numPr>
        <w:spacing w:after="80" w:line="320"/>
      </w:pPr>
      <w:r>
        <w:rPr>
          <w:rFonts w:ascii="Arial" w:cs="Arial" w:eastAsia="Arial" w:hAnsi="Arial"/>
          <w:color w:val="1A1A2E"/>
          <w:sz w:val="20"/>
          <w:szCs w:val="20"/>
        </w:rPr>
        <w:t xml:space="preserve">Label 'Powered by Velixa' — certification visible pour les éditeurs partenaires</w:t>
      </w:r>
    </w:p>
    <w:p>
      <w:pPr>
        <w:pStyle w:val="ListParagraph"/>
        <w:numPr>
          <w:ilvl w:val="0"/>
          <w:numId w:val="2"/>
        </w:numPr>
        <w:spacing w:after="80" w:line="320"/>
      </w:pPr>
      <w:r>
        <w:rPr>
          <w:rFonts w:ascii="Arial" w:cs="Arial" w:eastAsia="Arial" w:hAnsi="Arial"/>
          <w:color w:val="1A1A2E"/>
          <w:sz w:val="20"/>
          <w:szCs w:val="20"/>
        </w:rPr>
        <w:t xml:space="preserve">Extension navigateur — protection des accès directs ChatGPT / Claude.ai / Gemini</w:t>
      </w:r>
    </w:p>
    <w:p>
      <w:pPr>
        <w:pStyle w:val="ListParagraph"/>
        <w:numPr>
          <w:ilvl w:val="0"/>
          <w:numId w:val="2"/>
        </w:numPr>
        <w:spacing w:after="80" w:line="320"/>
      </w:pPr>
      <w:r>
        <w:rPr>
          <w:rFonts w:ascii="Arial" w:cs="Arial" w:eastAsia="Arial" w:hAnsi="Arial"/>
          <w:color w:val="1A1A2E"/>
          <w:sz w:val="20"/>
          <w:szCs w:val="20"/>
        </w:rPr>
        <w:t xml:space="preserve">Intégration SIEM — export Syslog / webhook vers Splunk, Elastic, Graylog</w:t>
      </w:r>
    </w:p>
    <w:p>
      <w:r>
        <w:br w:type="page"/>
      </w:r>
    </w:p>
    <w:p>
      <w:pPr>
        <w:pStyle w:val="Heading1"/>
        <w:spacing w:after="200" w:before="480"/>
      </w:pPr>
      <w:r>
        <w:rPr>
          <w:rFonts w:ascii="Arial" w:cs="Arial" w:eastAsia="Arial" w:hAnsi="Arial"/>
          <w:b/>
          <w:bCs/>
          <w:color w:val="1B4F8A"/>
          <w:sz w:val="36"/>
          <w:szCs w:val="36"/>
        </w:rPr>
        <w:t xml:space="preserve">6. Conformité réglementaire — ce que Velixa adresse</w:t>
      </w:r>
    </w:p>
    <w:p>
      <w:pPr>
        <w:pStyle w:val="Heading2"/>
        <w:spacing w:after="140" w:before="320"/>
      </w:pPr>
      <w:r>
        <w:rPr>
          <w:rFonts w:ascii="Arial" w:cs="Arial" w:eastAsia="Arial" w:hAnsi="Arial"/>
          <w:b/>
          <w:bCs/>
          <w:color w:val="0D1B3E"/>
          <w:sz w:val="26"/>
          <w:szCs w:val="26"/>
        </w:rPr>
        <w:t xml:space="preserve">6.1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Obligation RGPD</w:t>
            </w:r>
          </w:p>
        </w:tc>
        <w:tc>
          <w:tcPr>
            <w:tcW w:type="dxa" w:w="556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Comment Velixa y répond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Art.5 — Minimisation des données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Détection et blocage des données personnelles avant envoi au LLM</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Art.9 — Catégories spéciales</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Détection renforcée : données de santé, biométriques, syndicales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Art.17 — Droit à l'oubli</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Purge ciblée par utilisateur dans tous les logs via CLI</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Art.32 — Sécurité du traitement</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Chiffrement des prompts stockés, détection credentials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Art.5 §2 — Accountability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Journal de purge conservé 3 ans, audit trail complet</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Art.13/14 — Information</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Consentement IA tracé avec version de la charte et date</w:t>
            </w:r>
          </w:p>
        </w:tc>
      </w:tr>
    </w:tbl>
    <w:p>
      <w:pPr>
        <w:spacing w:after="160"/>
      </w:pPr>
    </w:p>
    <w:p>
      <w:pPr>
        <w:pStyle w:val="Heading2"/>
        <w:spacing w:after="140" w:before="320"/>
      </w:pPr>
      <w:r>
        <w:rPr>
          <w:rFonts w:ascii="Arial" w:cs="Arial" w:eastAsia="Arial" w:hAnsi="Arial"/>
          <w:b/>
          <w:bCs/>
          <w:color w:val="0D1B3E"/>
          <w:sz w:val="26"/>
          <w:szCs w:val="26"/>
        </w:rPr>
        <w:t xml:space="preserve">6.2 NIS2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Obligation NIS2</w:t>
            </w:r>
          </w:p>
        </w:tc>
        <w:tc>
          <w:tcPr>
            <w:tcW w:type="dxa" w:w="556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Comment Velixa y répond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Art.21 — Gestion des risques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Pipeline d'analyse automatique de chaque flux IA</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Art.23 — Notification incidents</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Assistant phi3 pour brouillon de notification 24h</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Supply chain security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Analyse contrats fournisseurs NIS2, scoring risque tiers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Logs sécurité 18 mois</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Rétention différenciée : violations = 18 mois automatique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Audit et traçabilité</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Trace complète avec trace_id chaîné agent-à-agent</w:t>
            </w:r>
          </w:p>
        </w:tc>
      </w:tr>
    </w:tbl>
    <w:p>
      <w:pPr>
        <w:spacing w:after="160"/>
      </w:pPr>
    </w:p>
    <w:p>
      <w:pPr>
        <w:pStyle w:val="Heading2"/>
        <w:spacing w:after="140" w:before="320"/>
      </w:pPr>
      <w:r>
        <w:rPr>
          <w:rFonts w:ascii="Arial" w:cs="Arial" w:eastAsia="Arial" w:hAnsi="Arial"/>
          <w:b/>
          <w:bCs/>
          <w:color w:val="0D1B3E"/>
          <w:sz w:val="26"/>
          <w:szCs w:val="26"/>
        </w:rPr>
        <w:t xml:space="preserve">6.3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Obligation EU AI Act</w:t>
            </w:r>
          </w:p>
        </w:tc>
        <w:tc>
          <w:tcPr>
            <w:tcW w:type="dxa" w:w="5560"/>
            <w:tcBorders>
              <w:top w:val="single" w:color="CCCCCC" w:sz="1"/>
              <w:left w:val="single" w:color="CCCCCC" w:sz="1"/>
              <w:bottom w:val="single" w:color="CCCCCC" w:sz="1"/>
              <w:right w:val="single" w:color="CCCCCC" w:sz="1"/>
            </w:tcBorders>
            <w:shd w:fill="0D1B3E"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Comment Velixa y répond</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Art.5 — Pratiques interdites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Détection jailbreak, manipulation, contournement</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Art.14 — Supervision humaine</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HITL natif — file d'approbation humaine configurable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Art.49 — Registre systèmes IA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Inventaire automatique de tous les LLM utilisés</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Art.52 — Transparence</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Consentement tracé — l'utilisateur sait qu'il utilise l'IA</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Rapport de conformité</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2E"/>
                <w:sz w:val="18"/>
                <w:szCs w:val="18"/>
              </w:rPr>
              <w:t xml:space="preserve">Rapport EU AI Act exportable PDF généré automatiquement</w:t>
            </w:r>
          </w:p>
        </w:tc>
      </w:tr>
      <w:tr>
        <w:tc>
          <w:tcPr>
            <w:tcW w:type="dxa" w:w="38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Gouvernance des agents</w:t>
            </w:r>
          </w:p>
        </w:tc>
        <w:tc>
          <w:tcPr>
            <w:tcW w:type="dxa" w:w="556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40"/>
            </w:tcMar>
          </w:tcPr>
          <w:p>
            <w:r>
              <w:rPr>
                <w:rFonts w:ascii="Arial" w:cs="Arial" w:eastAsia="Arial" w:hAnsi="Arial"/>
                <w:color w:val="1A1A2E"/>
                <w:sz w:val="18"/>
                <w:szCs w:val="18"/>
              </w:rPr>
              <w:t xml:space="preserve">Kill switch, quotas, plages horaires, audit complet</w:t>
            </w:r>
          </w:p>
        </w:tc>
      </w:tr>
    </w:tbl>
    <w:p>
      <w:r>
        <w:br w:type="page"/>
      </w:r>
    </w:p>
    <w:p>
      <w:pPr>
        <w:pStyle w:val="Heading1"/>
        <w:spacing w:after="200" w:before="480"/>
      </w:pPr>
      <w:r>
        <w:rPr>
          <w:rFonts w:ascii="Arial" w:cs="Arial" w:eastAsia="Arial" w:hAnsi="Arial"/>
          <w:b/>
          <w:bCs/>
          <w:color w:val="1B4F8A"/>
          <w:sz w:val="36"/>
          <w:szCs w:val="36"/>
        </w:rPr>
        <w:t xml:space="preserve">7. Pourquoi maintenant est le bon moment</w:t>
      </w:r>
    </w:p>
    <w:p>
      <w:pPr>
        <w:pStyle w:val="Heading2"/>
        <w:spacing w:after="140" w:before="320"/>
      </w:pPr>
      <w:r>
        <w:rPr>
          <w:rFonts w:ascii="Arial" w:cs="Arial" w:eastAsia="Arial" w:hAnsi="Arial"/>
          <w:b/>
          <w:bCs/>
          <w:color w:val="0D1B3E"/>
          <w:sz w:val="26"/>
          <w:szCs w:val="26"/>
        </w:rPr>
        <w:t xml:space="preserve">7.1 La fenêtre de marché</w:t>
      </w:r>
    </w:p>
    <w:p>
      <w:pPr>
        <w:spacing w:after="140" w:line="340"/>
        <w:jc w:val="both"/>
      </w:pPr>
      <w:r>
        <w:rPr>
          <w:rFonts w:ascii="Arial" w:cs="Arial" w:eastAsia="Arial" w:hAnsi="Arial"/>
          <w:b w:val="false"/>
          <w:bCs w:val="false"/>
          <w:i w:val="false"/>
          <w:iCs w:val="false"/>
          <w:color w:val="1A1A2E"/>
          <w:sz w:val="21"/>
          <w:szCs w:val="21"/>
        </w:rPr>
        <w:t xml:space="preserve">Nous sommes en 2026 au milieu d'une convergence unique de trois phénomènes :</w:t>
      </w:r>
    </w:p>
    <w:p>
      <w:pPr>
        <w:pStyle w:val="ListParagraph"/>
        <w:numPr>
          <w:ilvl w:val="0"/>
          <w:numId w:val="2"/>
        </w:numPr>
        <w:spacing w:after="80" w:line="320"/>
      </w:pPr>
      <w:r>
        <w:rPr>
          <w:rFonts w:ascii="Arial" w:cs="Arial" w:eastAsia="Arial" w:hAnsi="Arial"/>
          <w:color w:val="1A1A2E"/>
          <w:sz w:val="20"/>
          <w:szCs w:val="20"/>
        </w:rPr>
        <w:t xml:space="preserve">L'adoption IA en entreprise atteint un point de masse critique — chaque organisation utilise l'IA, mais peu la gouvernent</w:t>
      </w:r>
    </w:p>
    <w:p>
      <w:pPr>
        <w:pStyle w:val="ListParagraph"/>
        <w:numPr>
          <w:ilvl w:val="0"/>
          <w:numId w:val="2"/>
        </w:numPr>
        <w:spacing w:after="80" w:line="320"/>
      </w:pPr>
      <w:r>
        <w:rPr>
          <w:rFonts w:ascii="Arial" w:cs="Arial" w:eastAsia="Arial" w:hAnsi="Arial"/>
          <w:color w:val="1A1A2E"/>
          <w:sz w:val="20"/>
          <w:szCs w:val="20"/>
        </w:rPr>
        <w:t xml:space="preserve">Le cadre réglementaire européen se met en place — les premières amendes EU AI Act tombent, les autorités de protection des données (APD) nationales renforcent leurs contrôles</w:t>
      </w:r>
    </w:p>
    <w:p>
      <w:pPr>
        <w:pStyle w:val="ListParagraph"/>
        <w:numPr>
          <w:ilvl w:val="0"/>
          <w:numId w:val="2"/>
        </w:numPr>
        <w:spacing w:after="80" w:line="320"/>
      </w:pPr>
      <w:r>
        <w:rPr>
          <w:rFonts w:ascii="Arial" w:cs="Arial" w:eastAsia="Arial" w:hAnsi="Arial"/>
          <w:color w:val="1A1A2E"/>
          <w:sz w:val="20"/>
          <w:szCs w:val="20"/>
        </w:rPr>
        <w:t xml:space="preserve">Les solutions de gouvernance enterprise restent hors de portée des PME et ETI — le marché est en attente d'une solution accessible</w:t>
      </w:r>
    </w:p>
    <w:p>
      <w:pPr>
        <w:spacing w:after="140" w:line="340"/>
        <w:jc w:val="both"/>
      </w:pPr>
      <w:r>
        <w:rPr>
          <w:rFonts w:ascii="Arial" w:cs="Arial" w:eastAsia="Arial" w:hAnsi="Arial"/>
          <w:b w:val="false"/>
          <w:bCs w:val="false"/>
          <w:i w:val="false"/>
          <w:iCs w:val="false"/>
          <w:color w:val="1A1A2E"/>
          <w:sz w:val="21"/>
          <w:szCs w:val="21"/>
        </w:rPr>
        <w:t xml:space="preserve">Cette fenêtre ne durera pas. Dans 18 à 24 mois, soit les grandes plateformes auront absorbé ce besoin, soit des solutions open-source robustes auront capturé le marché. Velixa est positionné pour être cette solution de référence.</w:t>
      </w:r>
    </w:p>
    <w:p>
      <w:pPr>
        <w:pStyle w:val="Heading2"/>
        <w:spacing w:after="140" w:before="320"/>
      </w:pPr>
      <w:r>
        <w:rPr>
          <w:rFonts w:ascii="Arial" w:cs="Arial" w:eastAsia="Arial" w:hAnsi="Arial"/>
          <w:b/>
          <w:bCs/>
          <w:color w:val="0D1B3E"/>
          <w:sz w:val="26"/>
          <w:szCs w:val="26"/>
        </w:rPr>
        <w:t xml:space="preserve">7.2 Les avantages structurels de l'open source</w:t>
      </w:r>
    </w:p>
    <w:p>
      <w:pPr>
        <w:spacing w:after="140" w:line="340"/>
        <w:jc w:val="both"/>
      </w:pPr>
      <w:r>
        <w:rPr>
          <w:rFonts w:ascii="Arial" w:cs="Arial" w:eastAsia="Arial" w:hAnsi="Arial"/>
          <w:b w:val="false"/>
          <w:bCs w:val="false"/>
          <w:i w:val="false"/>
          <w:iCs w:val="false"/>
          <w:color w:val="1A1A2E"/>
          <w:sz w:val="21"/>
          <w:szCs w:val="21"/>
        </w:rPr>
        <w:t xml:space="preserve">L'open source n'est pas une contrainte pour Velixa — c'est son avantage concurrentiel principal dans ce marché spécifique. La gouvernance IA est une question de confiance. Et la confiance dans le traitement des données ne peut pas reposer sur la parole d'un éditeur — elle doit reposer sur du code auditable.</w:t>
      </w:r>
    </w:p>
    <w:p>
      <w:pPr>
        <w:spacing w:after="140" w:line="340"/>
        <w:jc w:val="both"/>
      </w:pPr>
      <w:r>
        <w:rPr>
          <w:rFonts w:ascii="Arial" w:cs="Arial" w:eastAsia="Arial" w:hAnsi="Arial"/>
          <w:b w:val="false"/>
          <w:bCs w:val="false"/>
          <w:i w:val="false"/>
          <w:iCs w:val="false"/>
          <w:color w:val="1A1A2E"/>
          <w:sz w:val="21"/>
          <w:szCs w:val="21"/>
        </w:rPr>
        <w:t xml:space="preserve">Les DPO, les RSSI, les auditeurs et les organismes de certification ont une exigence de transparence que seul l'open source peut satisfaire. Un outil de gouvernance IA à code fermé est intrinsèquement un oxymore.</w:t>
      </w:r>
    </w:p>
    <w:p>
      <w:pPr>
        <w:pStyle w:val="Heading2"/>
        <w:spacing w:after="140" w:before="320"/>
      </w:pPr>
      <w:r>
        <w:rPr>
          <w:rFonts w:ascii="Arial" w:cs="Arial" w:eastAsia="Arial" w:hAnsi="Arial"/>
          <w:b/>
          <w:bCs/>
          <w:color w:val="0D1B3E"/>
          <w:sz w:val="26"/>
          <w:szCs w:val="26"/>
        </w:rPr>
        <w:t xml:space="preserve">7.3 L'effet réseau comme moat défensif</w:t>
      </w:r>
    </w:p>
    <w:p>
      <w:pPr>
        <w:spacing w:after="140" w:line="340"/>
        <w:jc w:val="both"/>
      </w:pPr>
      <w:r>
        <w:rPr>
          <w:rFonts w:ascii="Arial" w:cs="Arial" w:eastAsia="Arial" w:hAnsi="Arial"/>
          <w:b w:val="false"/>
          <w:bCs w:val="false"/>
          <w:i w:val="false"/>
          <w:iCs w:val="false"/>
          <w:color w:val="1A1A2E"/>
          <w:sz w:val="21"/>
          <w:szCs w:val="21"/>
        </w:rPr>
        <w:t xml:space="preserve">La valeur de Velixa croît exponentiellement avec le nombre d'utilisateurs. Chaque nouvelle organisation qui adopte Velixa contribue au threat sharing, enrichit la marketplace de règles, étend le réseau de certifications 'Powered by Velixa'. Cet effet réseau crée un avantage défensif croissant qui est très difficile à rattraper pour un concurrent tardif.</w:t>
      </w:r>
    </w:p>
    <w:p>
      <w:pPr>
        <w:pBdr>
          <w:left w:val="single" w:color="0F7A56" w:sz="20" w:space="12"/>
        </w:pBdr>
        <w:spacing w:after="240" w:before="240"/>
        <w:ind w:left="480" w:right="480"/>
      </w:pPr>
      <w:r>
        <w:rPr>
          <w:rFonts w:ascii="Arial" w:cs="Arial" w:eastAsia="Arial" w:hAnsi="Arial"/>
          <w:b/>
          <w:bCs/>
          <w:i/>
          <w:iCs/>
          <w:color w:val="0D1B3E"/>
          <w:sz w:val="24"/>
          <w:szCs w:val="24"/>
        </w:rPr>
        <w:t xml:space="preserve">Dans 5 ans, la question ne sera pas 'utilisez-vous un outil de gouvernance IA ?' mais 'utilisez-vous Velixa ?' — de la même façon qu'aujourd'hui la question n'est pas 'avez-vous un firewall ?' mais 'quel firewall utilisez-vous ?'</w:t>
      </w:r>
    </w:p>
    <w:p>
      <w:pPr>
        <w:pBdr>
          <w:bottom w:val="single" w:color="1B4F8A" w:sz="4" w:space="1"/>
        </w:pBdr>
        <w:spacing w:after="240" w:before="240"/>
      </w:pPr>
    </w:p>
    <w:p>
      <w:pPr>
        <w:spacing w:before="240"/>
      </w:pPr>
    </w:p>
    <w:p>
      <w:pPr>
        <w:pStyle w:val="Heading1"/>
        <w:spacing w:after="200" w:before="480"/>
      </w:pPr>
      <w:r>
        <w:rPr>
          <w:rFonts w:ascii="Arial" w:cs="Arial" w:eastAsia="Arial" w:hAnsi="Arial"/>
          <w:b/>
          <w:bCs/>
          <w:color w:val="1B4F8A"/>
          <w:sz w:val="36"/>
          <w:szCs w:val="36"/>
        </w:rPr>
        <w:t xml:space="preserve">Conclusion</w:t>
      </w:r>
    </w:p>
    <w:p>
      <w:pPr>
        <w:spacing w:after="140" w:line="340"/>
        <w:jc w:val="both"/>
      </w:pPr>
      <w:r>
        <w:rPr>
          <w:rFonts w:ascii="Arial" w:cs="Arial" w:eastAsia="Arial" w:hAnsi="Arial"/>
          <w:b w:val="false"/>
          <w:bCs w:val="false"/>
          <w:i w:val="false"/>
          <w:iCs w:val="false"/>
          <w:color w:val="1A1A2E"/>
          <w:sz w:val="21"/>
          <w:szCs w:val="21"/>
        </w:rPr>
        <w:t xml:space="preserve">L'IA générative est la transformation la plus profonde des outils de travail depuis l'arrivée d'Internet. Comme Internet, elle apporte une productivité extraordinaire et des risques tout aussi extraordinaires. Comme Internet a nécessité des couches de sécurité — pare-feux, proxies, filtres de contenu, chiffrement — l'IA nécessite ses propres couches de gouvernance.</w:t>
      </w:r>
    </w:p>
    <w:p>
      <w:pPr>
        <w:spacing w:after="140" w:line="340"/>
        <w:jc w:val="both"/>
      </w:pPr>
      <w:r>
        <w:rPr>
          <w:rFonts w:ascii="Arial" w:cs="Arial" w:eastAsia="Arial" w:hAnsi="Arial"/>
          <w:b w:val="false"/>
          <w:bCs w:val="false"/>
          <w:i w:val="false"/>
          <w:iCs w:val="false"/>
          <w:color w:val="1A1A2E"/>
          <w:sz w:val="21"/>
          <w:szCs w:val="21"/>
        </w:rPr>
        <w:t xml:space="preserve">Velixa est cette couche. Open-source, transparente, déployable en heures, fonctionnant en air-gap total, conçue pour les équipes qui n'ont pas d'armée d'experts en gouvernance IA mais qui ont besoin d'une protection réelle et d'une conformité documentable.</w:t>
      </w:r>
    </w:p>
    <w:p>
      <w:pPr>
        <w:spacing w:after="140" w:line="340"/>
        <w:jc w:val="both"/>
      </w:pPr>
      <w:r>
        <w:rPr>
          <w:rFonts w:ascii="Arial" w:cs="Arial" w:eastAsia="Arial" w:hAnsi="Arial"/>
          <w:b w:val="false"/>
          <w:bCs w:val="false"/>
          <w:i w:val="false"/>
          <w:iCs w:val="false"/>
          <w:color w:val="1A1A2E"/>
          <w:sz w:val="21"/>
          <w:szCs w:val="21"/>
        </w:rPr>
        <w:t xml:space="preserve">La gouvernance IA n'est pas un luxe pour les grandes entreprises. C'est une infrastructure critique pour toute organisation qui prend au sérieux ses données, ses collaborateurs, et sa conformité réglementaire.</w:t>
      </w:r>
    </w:p>
    <w:p>
      <w:pPr>
        <w:spacing w:after="140" w:line="340"/>
        <w:jc w:val="both"/>
      </w:pPr>
      <w:r>
        <w:rPr>
          <w:rFonts w:ascii="Arial" w:cs="Arial" w:eastAsia="Arial" w:hAnsi="Arial"/>
          <w:b w:val="false"/>
          <w:bCs w:val="false"/>
          <w:i w:val="false"/>
          <w:iCs w:val="false"/>
          <w:color w:val="1A1A2E"/>
          <w:sz w:val="21"/>
          <w:szCs w:val="21"/>
        </w:rPr>
        <w:t xml:space="preserve">Velixa rend cette infrastructure accessible à tous.</w:t>
      </w:r>
    </w:p>
    <w:p>
      <w:pPr>
        <w:spacing w:before="360"/>
      </w:pPr>
    </w:p>
    <w:p>
      <w:pPr>
        <w:pBdr>
          <w:left w:val="single" w:color="0F7A56" w:sz="20" w:space="12"/>
        </w:pBdr>
        <w:spacing w:after="240" w:before="240"/>
        <w:ind w:left="480" w:right="480"/>
      </w:pPr>
      <w:r>
        <w:rPr>
          <w:rFonts w:ascii="Arial" w:cs="Arial" w:eastAsia="Arial" w:hAnsi="Arial"/>
          <w:b/>
          <w:bCs/>
          <w:i/>
          <w:iCs/>
          <w:color w:val="0D1B3E"/>
          <w:sz w:val="24"/>
          <w:szCs w:val="24"/>
        </w:rPr>
        <w:t xml:space="preserve">Governing AI with Confidence — pour toutes les organisations, quelle que soit leur taille.</w:t>
      </w:r>
    </w:p>
    <w:p>
      <w:pPr>
        <w:pBdr>
          <w:bottom w:val="single" w:color="1B4F8A" w:sz="4" w:space="1"/>
        </w:pBdr>
        <w:spacing w:after="240" w:before="240"/>
      </w:pPr>
    </w:p>
    <w:p>
      <w:pPr>
        <w:pStyle w:val="Heading2"/>
        <w:spacing w:after="140" w:before="320"/>
      </w:pPr>
      <w:r>
        <w:rPr>
          <w:rFonts w:ascii="Arial" w:cs="Arial" w:eastAsia="Arial" w:hAnsi="Arial"/>
          <w:b/>
          <w:bCs/>
          <w:color w:val="0D1B3E"/>
          <w:sz w:val="26"/>
          <w:szCs w:val="26"/>
        </w:rPr>
        <w:t xml:space="preserve">À propos de Velixa</w:t>
      </w:r>
    </w:p>
    <w:p>
      <w:pPr>
        <w:spacing w:after="140" w:line="340"/>
        <w:jc w:val="both"/>
      </w:pPr>
      <w:r>
        <w:rPr>
          <w:rFonts w:ascii="Arial" w:cs="Arial" w:eastAsia="Arial" w:hAnsi="Arial"/>
          <w:b w:val="false"/>
          <w:bCs w:val="false"/>
          <w:i w:val="false"/>
          <w:iCs w:val="false"/>
          <w:color w:val="1A1A2E"/>
          <w:sz w:val="21"/>
          <w:szCs w:val="21"/>
        </w:rPr>
        <w:t xml:space="preserve">Velixa est un projet open-source distribué sous licence AGPL v3. Le code source est disponible sur GitHub. La communauté est bienvenue pour contribuer — rapports de bugs, nouvelles fonctionnalités, règles sectorielles, traductions.</w:t>
      </w:r>
    </w:p>
    <w:p>
      <w:pPr>
        <w:spacing w:after="140" w:line="340"/>
        <w:jc w:val="both"/>
      </w:pPr>
      <w:r>
        <w:rPr>
          <w:rFonts w:ascii="Arial" w:cs="Arial" w:eastAsia="Arial" w:hAnsi="Arial"/>
          <w:b w:val="false"/>
          <w:bCs w:val="false"/>
          <w:i w:val="false"/>
          <w:iCs w:val="false"/>
          <w:color w:val="1A1A2E"/>
          <w:sz w:val="21"/>
          <w:szCs w:val="21"/>
        </w:rPr>
        <w:t xml:space="preserve">Pour les organisations souhaitant bénéficier d'un support dédié, d'un SLA garanti, ou d'une licence enterprise avec les fonctionnalités multi-tenant et SDK, contacter l'équipe Velixa.</w:t>
      </w:r>
    </w:p>
    <w:p>
      <w:pPr>
        <w:spacing w:after="480"/>
        <w:jc w:val="center"/>
      </w:pPr>
      <w:r>
        <w:rPr>
          <w:rFonts w:ascii="Arial" w:cs="Arial" w:eastAsia="Arial" w:hAnsi="Arial"/>
          <w:i/>
          <w:iCs/>
          <w:color w:val="BBBBBB"/>
          <w:sz w:val="18"/>
          <w:szCs w:val="18"/>
        </w:rPr>
        <w:t xml:space="preserve">— Fin du White Paper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pPr>
    <w:r>
      <w:rPr>
        <w:rFonts w:ascii="Arial" w:cs="Arial" w:eastAsia="Arial" w:hAnsi="Arial"/>
        <w:color w:val="999999"/>
        <w:sz w:val="16"/>
        <w:szCs w:val="16"/>
      </w:rPr>
      <w:t xml:space="preserve">© 2026 Velixa — Licence AGPL v3 — Confidentiel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BBBBBB"/>
        <w:sz w:val="16"/>
        <w:szCs w:val="16"/>
      </w:rPr>
      <w:t xml:space="preserve"> sur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color w:val="999999"/>
        <w:sz w:val="16"/>
        <w:szCs w:val="16"/>
      </w:rPr>
      <w:t xml:space="preserve">VELIXA — White Paper  </w:t>
    </w:r>
    <w:r>
      <w:rPr>
        <w:rFonts w:ascii="Arial" w:cs="Arial" w:eastAsia="Arial" w:hAnsi="Arial"/>
        <w:i/>
        <w:iCs/>
        <w:color w:val="BBBBBB"/>
        <w:sz w:val="16"/>
        <w:szCs w:val="16"/>
      </w:rPr>
      <w:t xml:space="preserve">La gouvernance IA comme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60" w:hanging="32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8A" w:sz="6" w:space="1"/>
      </w:pBdr>
      <w:spacing w:after="200" w:before="480"/>
      <w:outlineLvl w:val="0"/>
    </w:pPr>
    <w:rPr>
      <w:rFonts w:ascii="Arial" w:cs="Arial" w:eastAsia="Arial" w:hAnsi="Arial"/>
      <w:b/>
      <w:bCs/>
      <w:color w:val="1B4F8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0D1B3E"/>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2026-04-13T09:04:23.234Z</dcterms:created>
  <dcterms:modified xsi:type="dcterms:W3CDTF">2026-04-13T09:04:23.235Z</dcterms:modified>
</cp:coreProperties>
</file>

<file path=docProps/custom.xml><?xml version="1.0" encoding="utf-8"?>
<Properties xmlns="http://schemas.openxmlformats.org/officeDocument/2006/custom-properties" xmlns:vt="http://schemas.openxmlformats.org/officeDocument/2006/docPropsVTypes"/>
</file>