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5EA" w:rsidRPr="00BF257E" w:rsidRDefault="00C165EA" w:rsidP="00C165EA">
      <w:pPr>
        <w:rPr>
          <w:b/>
          <w:lang w:val="en-US"/>
        </w:rPr>
      </w:pPr>
      <w:proofErr w:type="spellStart"/>
      <w:r>
        <w:rPr>
          <w:b/>
          <w:lang w:val="en-US"/>
        </w:rPr>
        <w:t>Spørgsmål</w:t>
      </w:r>
      <w:proofErr w:type="spellEnd"/>
      <w:r>
        <w:rPr>
          <w:b/>
          <w:lang w:val="en-US"/>
        </w:rPr>
        <w:t xml:space="preserve"> 7: </w:t>
      </w:r>
      <w:r w:rsidRPr="00BF257E">
        <w:rPr>
          <w:b/>
          <w:lang w:val="en-US"/>
        </w:rPr>
        <w:t xml:space="preserve">Inductive proof techniques </w:t>
      </w:r>
    </w:p>
    <w:p w:rsidR="00C165EA" w:rsidRDefault="00C165EA" w:rsidP="00C165EA">
      <w:pPr>
        <w:rPr>
          <w:lang w:val="en-US"/>
        </w:rPr>
      </w:pPr>
      <w:r>
        <w:rPr>
          <w:lang w:val="en-US"/>
        </w:rPr>
        <w:t xml:space="preserve">Definition: </w:t>
      </w:r>
    </w:p>
    <w:p w:rsidR="00C165EA" w:rsidRPr="00A17914" w:rsidRDefault="00C165EA" w:rsidP="00C165EA">
      <w:pPr>
        <w:pStyle w:val="Listeafsnit"/>
        <w:numPr>
          <w:ilvl w:val="0"/>
          <w:numId w:val="1"/>
        </w:numPr>
      </w:pPr>
      <w:r w:rsidRPr="00A17914">
        <w:t xml:space="preserve">Matematisk </w:t>
      </w:r>
      <w:proofErr w:type="spellStart"/>
      <w:r w:rsidRPr="00A17914">
        <w:t>induction</w:t>
      </w:r>
      <w:proofErr w:type="spellEnd"/>
      <w:r w:rsidRPr="00A17914">
        <w:t xml:space="preserve"> bruges til at bevi</w:t>
      </w:r>
      <w:r>
        <w:t xml:space="preserve">se statements på formen: </w:t>
      </w:r>
      <m:oMath>
        <m:r>
          <w:rPr>
            <w:rFonts w:ascii="Cambria Math" w:hAnsi="Cambria Math"/>
          </w:rPr>
          <m:t>∀ n≥a</m:t>
        </m:r>
        <m:r>
          <w:rPr>
            <w:rFonts w:ascii="Cambria Math" w:eastAsiaTheme="minorEastAsia" w:hAnsi="Cambria Math"/>
          </w:rPr>
          <m:t xml:space="preserve"> :P(n)</m:t>
        </m:r>
      </m:oMath>
    </w:p>
    <w:p w:rsidR="00C165EA" w:rsidRDefault="00C165EA" w:rsidP="00C165EA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(Typisk er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</w:rPr>
        <w:t xml:space="preserve"> eller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hvorfor domænet er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eller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)</w:t>
      </w:r>
    </w:p>
    <w:p w:rsidR="00C165EA" w:rsidRDefault="00C165EA" w:rsidP="00C165EA">
      <w:pPr>
        <w:pStyle w:val="Listeafsnit"/>
        <w:numPr>
          <w:ilvl w:val="0"/>
          <w:numId w:val="1"/>
        </w:numPr>
      </w:pPr>
      <w:r>
        <w:t>Samme princip som at gå på en stige -&gt; Skal kunne kravle op på stigen + vise at man kan tage et trin</w:t>
      </w:r>
    </w:p>
    <w:p w:rsidR="00C165EA" w:rsidRDefault="00C165EA" w:rsidP="00C165EA"/>
    <w:p w:rsidR="00C165EA" w:rsidRDefault="00C165EA" w:rsidP="00C165EA">
      <w:r>
        <w:t xml:space="preserve">Formel definition: </w:t>
      </w:r>
    </w:p>
    <w:p w:rsidR="00E67069" w:rsidRDefault="00E67069" w:rsidP="00C165EA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E67069" w:rsidRPr="00E67069" w:rsidRDefault="00E67069" w:rsidP="00C165E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∀ k∈N,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67069" w:rsidRDefault="00E67069" w:rsidP="00C165EA">
      <w:pPr>
        <w:rPr>
          <w:rFonts w:eastAsiaTheme="minorEastAsia"/>
        </w:rPr>
      </w:pPr>
      <w:r>
        <w:t xml:space="preserve">Hvis 1 og 2 er sandt, må det betyde </w:t>
      </w:r>
      <m:oMath>
        <m:r>
          <w:rPr>
            <w:rFonts w:ascii="Cambria Math" w:hAnsi="Cambria Math"/>
          </w:rPr>
          <m:t>∀ n∈N, P(n)</m:t>
        </m:r>
      </m:oMath>
      <w:r>
        <w:rPr>
          <w:rFonts w:eastAsiaTheme="minorEastAsia"/>
        </w:rPr>
        <w:t xml:space="preserve"> er sandt</w:t>
      </w:r>
    </w:p>
    <w:p w:rsidR="00A61CA3" w:rsidRDefault="00A61CA3" w:rsidP="00C165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w:bookmarkStart w:id="0" w:name="_GoBack"/>
              <w:bookmarkEnd w:id="0"/>
              <m:r>
                <w:rPr>
                  <w:rFonts w:ascii="Cambria Math" w:hAnsi="Cambria Math"/>
                </w:rPr>
                <m:t>→P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e>
          </m:d>
          <m:r>
            <w:rPr>
              <w:rFonts w:ascii="Cambria Math" w:hAnsi="Cambria Math"/>
            </w:rPr>
            <m:t>→P(n)</m:t>
          </m:r>
        </m:oMath>
      </m:oMathPara>
    </w:p>
    <w:p w:rsidR="00C165EA" w:rsidRDefault="00C165EA" w:rsidP="00C165EA">
      <w:pPr>
        <w:pStyle w:val="Listeafsnit"/>
        <w:numPr>
          <w:ilvl w:val="0"/>
          <w:numId w:val="1"/>
        </w:numPr>
      </w:pPr>
      <w:r>
        <w:t xml:space="preserve">For hver positiv </w:t>
      </w:r>
      <w:proofErr w:type="spellStart"/>
      <w:r>
        <w:t>integer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så lad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være et sta</w:t>
      </w:r>
      <w:proofErr w:type="spellStart"/>
      <w:r>
        <w:t>tement</w:t>
      </w:r>
      <w:proofErr w:type="spellEnd"/>
      <w:r>
        <w:t xml:space="preserve">. Dermed gælder det at hvis: </w:t>
      </w:r>
    </w:p>
    <w:p w:rsidR="00C165EA" w:rsidRPr="00695C71" w:rsidRDefault="00C165EA" w:rsidP="00C165EA">
      <w:pPr>
        <w:pStyle w:val="Listeafsnit"/>
        <w:numPr>
          <w:ilvl w:val="1"/>
          <w:numId w:val="1"/>
        </w:numPr>
      </w:pPr>
      <w:r>
        <w:t xml:space="preserve">BC: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er sand, </w:t>
      </w:r>
      <w:proofErr w:type="gramStart"/>
      <w:r>
        <w:rPr>
          <w:rFonts w:eastAsiaTheme="minorEastAsia"/>
        </w:rPr>
        <w:t>og..</w:t>
      </w:r>
      <w:proofErr w:type="gramEnd"/>
    </w:p>
    <w:p w:rsidR="00C165EA" w:rsidRPr="004B5664" w:rsidRDefault="00C165EA" w:rsidP="00C165EA">
      <w:pPr>
        <w:pStyle w:val="Listeafsnit"/>
        <w:numPr>
          <w:ilvl w:val="1"/>
          <w:numId w:val="1"/>
        </w:numPr>
      </w:pPr>
      <w:r w:rsidRPr="004B5664">
        <w:rPr>
          <w:rFonts w:eastAsiaTheme="minorEastAsia"/>
        </w:rPr>
        <w:t xml:space="preserve">IH: Lad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∈N :</m:t>
        </m:r>
        <m:r>
          <w:rPr>
            <w:rFonts w:ascii="Cambria Math" w:eastAsiaTheme="minorEastAsia" w:hAnsi="Cambria Math"/>
          </w:rPr>
          <m:t>k≥a</m:t>
        </m:r>
      </m:oMath>
      <w:r w:rsidRPr="004B5664">
        <w:rPr>
          <w:rFonts w:eastAsiaTheme="minorEastAsia"/>
        </w:rPr>
        <w:t xml:space="preserve"> og a</w:t>
      </w:r>
      <w:r>
        <w:rPr>
          <w:rFonts w:eastAsiaTheme="minorEastAsia"/>
        </w:rPr>
        <w:t xml:space="preserve">ntag at </w:t>
      </w:r>
      <m:oMath>
        <m:r>
          <w:rPr>
            <w:rFonts w:ascii="Cambria Math" w:eastAsiaTheme="minorEastAsia" w:hAnsi="Cambria Math"/>
          </w:rPr>
          <m:t>P(k)</m:t>
        </m:r>
      </m:oMath>
      <w:r>
        <w:rPr>
          <w:rFonts w:eastAsiaTheme="minorEastAsia"/>
        </w:rPr>
        <w:t xml:space="preserve"> er sandt</w:t>
      </w:r>
    </w:p>
    <w:p w:rsidR="00C165EA" w:rsidRPr="00695C71" w:rsidRDefault="00C165EA" w:rsidP="00C165EA">
      <w:pPr>
        <w:pStyle w:val="Listeafsnit"/>
        <w:numPr>
          <w:ilvl w:val="1"/>
          <w:numId w:val="1"/>
        </w:numPr>
      </w:pPr>
      <w:r w:rsidRPr="00695C71">
        <w:rPr>
          <w:rFonts w:eastAsiaTheme="minorEastAsia"/>
        </w:rPr>
        <w:t>IS:</w:t>
      </w:r>
      <w:r>
        <w:rPr>
          <w:rFonts w:eastAsiaTheme="minorEastAsia"/>
        </w:rPr>
        <w:t xml:space="preserve"> Bevis at </w:t>
      </w:r>
      <m:oMath>
        <m:r>
          <w:rPr>
            <w:rFonts w:ascii="Cambria Math" w:eastAsiaTheme="minorEastAsia" w:hAnsi="Cambria Math"/>
          </w:rPr>
          <m:t>P(k+1)</m:t>
        </m:r>
      </m:oMath>
      <w:r w:rsidRPr="00695C71">
        <w:rPr>
          <w:rFonts w:eastAsiaTheme="minorEastAsia"/>
        </w:rPr>
        <w:t xml:space="preserve"> er sand</w:t>
      </w:r>
      <w:r>
        <w:rPr>
          <w:rFonts w:eastAsiaTheme="minorEastAsia"/>
        </w:rPr>
        <w:t xml:space="preserve">t, typisk ved brug af IH. </w:t>
      </w:r>
    </w:p>
    <w:p w:rsidR="00C165EA" w:rsidRDefault="00C165EA" w:rsidP="00C165EA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Hermed vil det gælde at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∈N: </m:t>
        </m:r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er sandt</w:t>
      </w:r>
    </w:p>
    <w:p w:rsidR="00C165EA" w:rsidRDefault="00C165EA" w:rsidP="00C165EA"/>
    <w:p w:rsidR="00C165EA" w:rsidRPr="00695C71" w:rsidRDefault="00C165EA" w:rsidP="00C165EA">
      <w:pPr>
        <w:rPr>
          <w:b/>
        </w:rPr>
      </w:pPr>
      <w:r w:rsidRPr="00695C71">
        <w:rPr>
          <w:b/>
        </w:rPr>
        <w:t xml:space="preserve">Simpel </w:t>
      </w:r>
      <w:r>
        <w:rPr>
          <w:b/>
        </w:rPr>
        <w:t xml:space="preserve">/svag </w:t>
      </w:r>
      <w:r w:rsidRPr="00695C71">
        <w:rPr>
          <w:b/>
        </w:rPr>
        <w:t xml:space="preserve">induktion: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7"/>
        <w:gridCol w:w="2061"/>
      </w:tblGrid>
      <w:tr w:rsidR="00C165EA" w:rsidTr="00B3138F">
        <w:trPr>
          <w:trHeight w:val="80"/>
        </w:trPr>
        <w:tc>
          <w:tcPr>
            <w:tcW w:w="7797" w:type="dxa"/>
          </w:tcPr>
          <w:p w:rsidR="00C165EA" w:rsidRDefault="00C165EA" w:rsidP="00B3138F">
            <w:pPr>
              <w:rPr>
                <w:rFonts w:eastAsiaTheme="minorEastAsia"/>
                <w:b/>
                <w:i/>
              </w:rPr>
            </w:pPr>
          </w:p>
          <w:p w:rsidR="00C165EA" w:rsidRPr="00A15C27" w:rsidRDefault="00C165EA" w:rsidP="00B3138F">
            <w:pPr>
              <w:rPr>
                <w:rFonts w:eastAsiaTheme="minorEastAsia"/>
                <w:i/>
              </w:rPr>
            </w:pPr>
            <w:r w:rsidRPr="00816DA1">
              <w:rPr>
                <w:rFonts w:eastAsiaTheme="minorEastAsia"/>
                <w:b/>
                <w:i/>
              </w:rPr>
              <w:t>Bevis ved matematisk induktion</w:t>
            </w:r>
            <w:r>
              <w:rPr>
                <w:rFonts w:eastAsiaTheme="minorEastAsia"/>
                <w:b/>
                <w:i/>
              </w:rPr>
              <w:t>:</w:t>
            </w:r>
          </w:p>
        </w:tc>
        <w:tc>
          <w:tcPr>
            <w:tcW w:w="2097" w:type="dxa"/>
          </w:tcPr>
          <w:p w:rsidR="00C165EA" w:rsidRDefault="00C165EA" w:rsidP="00B3138F">
            <w:pPr>
              <w:rPr>
                <w:rFonts w:eastAsiaTheme="minorEastAsia"/>
              </w:rPr>
            </w:pPr>
          </w:p>
        </w:tc>
      </w:tr>
      <w:tr w:rsidR="00C165EA" w:rsidTr="00B3138F">
        <w:trPr>
          <w:trHeight w:val="80"/>
        </w:trPr>
        <w:tc>
          <w:tcPr>
            <w:tcW w:w="7797" w:type="dxa"/>
          </w:tcPr>
          <w:p w:rsidR="00C165EA" w:rsidRDefault="00C165EA" w:rsidP="00B3138F">
            <w:pPr>
              <w:jc w:val="both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Lad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oMath>
            <w:r>
              <w:rPr>
                <w:rFonts w:eastAsiaTheme="minorEastAsia"/>
                <w:i/>
              </w:rPr>
              <w:t xml:space="preserve"> være statementet at: </w:t>
            </w:r>
          </w:p>
          <w:p w:rsidR="00C165EA" w:rsidRDefault="00C165EA" w:rsidP="00B3138F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”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  <w:i/>
              </w:rPr>
              <w:t xml:space="preserve"> er en løsning til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b,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if n=0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at(n-1)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if n≥1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i/>
              </w:rPr>
              <w:t>”</w:t>
            </w:r>
          </w:p>
          <w:p w:rsidR="00C165EA" w:rsidRDefault="00C165EA" w:rsidP="00B3138F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Vi vil bevise at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oMath>
            <w:r>
              <w:rPr>
                <w:rFonts w:eastAsiaTheme="minorEastAsia"/>
                <w:i/>
              </w:rPr>
              <w:t xml:space="preserve"> er sandt for alle </w:t>
            </w:r>
            <m:oMath>
              <m:r>
                <w:rPr>
                  <w:rFonts w:ascii="Cambria Math" w:eastAsiaTheme="minorEastAsia" w:hAnsi="Cambria Math"/>
                </w:rPr>
                <m:t>n≥0</m:t>
              </m:r>
            </m:oMath>
            <w:r>
              <w:rPr>
                <w:rFonts w:eastAsiaTheme="minorEastAsia"/>
                <w:i/>
              </w:rPr>
              <w:t xml:space="preserve">. </w:t>
            </w:r>
          </w:p>
        </w:tc>
        <w:tc>
          <w:tcPr>
            <w:tcW w:w="2097" w:type="dxa"/>
          </w:tcPr>
          <w:p w:rsidR="00C165EA" w:rsidRDefault="00C165EA" w:rsidP="00B3138F">
            <w:pPr>
              <w:rPr>
                <w:rFonts w:eastAsiaTheme="minorEastAsia"/>
              </w:rPr>
            </w:pPr>
          </w:p>
        </w:tc>
      </w:tr>
      <w:tr w:rsidR="00C165EA" w:rsidRPr="00816DA1" w:rsidTr="00B3138F">
        <w:trPr>
          <w:trHeight w:val="80"/>
        </w:trPr>
        <w:tc>
          <w:tcPr>
            <w:tcW w:w="7797" w:type="dxa"/>
          </w:tcPr>
          <w:p w:rsidR="00C165EA" w:rsidRDefault="00C165EA" w:rsidP="00B3138F">
            <w:pPr>
              <w:jc w:val="both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BC: Lad </w:t>
            </w:r>
            <m:oMath>
              <m:r>
                <w:rPr>
                  <w:rFonts w:ascii="Cambria Math" w:eastAsiaTheme="minorEastAsia" w:hAnsi="Cambria Math"/>
                </w:rPr>
                <m:t>n=0</m:t>
              </m:r>
            </m:oMath>
            <w:r>
              <w:rPr>
                <w:rFonts w:eastAsiaTheme="minorEastAsia"/>
                <w:i/>
              </w:rPr>
              <w:t xml:space="preserve">, hvormed: </w:t>
            </w:r>
          </w:p>
          <w:p w:rsidR="00C165EA" w:rsidRPr="00816DA1" w:rsidRDefault="005C41C7" w:rsidP="00B3138F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oMath>
            </m:oMathPara>
          </w:p>
          <w:p w:rsidR="00C165EA" w:rsidRPr="00816DA1" w:rsidRDefault="00C165EA" w:rsidP="00B3138F">
            <w:pPr>
              <w:rPr>
                <w:rFonts w:eastAsiaTheme="minorEastAsia"/>
                <w:i/>
              </w:rPr>
            </w:pPr>
            <w:r w:rsidRPr="00816DA1">
              <w:rPr>
                <w:rFonts w:eastAsiaTheme="minorEastAsia"/>
                <w:i/>
              </w:rPr>
              <w:t xml:space="preserve">Hermed er basecasen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oMath>
            <w:r w:rsidRPr="00816DA1">
              <w:rPr>
                <w:rFonts w:eastAsiaTheme="minorEastAsia"/>
                <w:i/>
              </w:rPr>
              <w:t xml:space="preserve"> sandt</w:t>
            </w:r>
            <w:r>
              <w:rPr>
                <w:rFonts w:eastAsiaTheme="minorEastAsia"/>
                <w:i/>
              </w:rPr>
              <w:t>.</w:t>
            </w:r>
          </w:p>
        </w:tc>
        <w:tc>
          <w:tcPr>
            <w:tcW w:w="2097" w:type="dxa"/>
          </w:tcPr>
          <w:p w:rsidR="00C165EA" w:rsidRPr="00816DA1" w:rsidRDefault="00C165EA" w:rsidP="00B3138F">
            <w:pPr>
              <w:rPr>
                <w:rFonts w:eastAsiaTheme="minorEastAsia"/>
              </w:rPr>
            </w:pPr>
          </w:p>
        </w:tc>
      </w:tr>
      <w:tr w:rsidR="00C165EA" w:rsidRPr="00816DA1" w:rsidTr="00B3138F">
        <w:trPr>
          <w:trHeight w:val="80"/>
        </w:trPr>
        <w:tc>
          <w:tcPr>
            <w:tcW w:w="7797" w:type="dxa"/>
          </w:tcPr>
          <w:p w:rsidR="00C165EA" w:rsidRDefault="00C165EA" w:rsidP="00B3138F">
            <w:pPr>
              <w:jc w:val="both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IH: Lad </w:t>
            </w:r>
            <m:oMath>
              <m:r>
                <w:rPr>
                  <w:rFonts w:ascii="Cambria Math" w:eastAsiaTheme="minorEastAsia" w:hAnsi="Cambria Math"/>
                </w:rPr>
                <m:t>k≥0</m:t>
              </m:r>
            </m:oMath>
            <w:r>
              <w:rPr>
                <w:rFonts w:eastAsiaTheme="minorEastAsia"/>
                <w:i/>
              </w:rPr>
              <w:t xml:space="preserve"> og antag at </w:t>
            </w:r>
            <m:oMath>
              <m:r>
                <w:rPr>
                  <w:rFonts w:ascii="Cambria Math" w:eastAsiaTheme="minorEastAsia" w:hAnsi="Cambria Math"/>
                </w:rPr>
                <m:t>P(k-1)</m:t>
              </m:r>
            </m:oMath>
            <w:r>
              <w:rPr>
                <w:rFonts w:eastAsiaTheme="minorEastAsia"/>
                <w:i/>
              </w:rPr>
              <w:t xml:space="preserve"> er sandt, dvs.: </w:t>
            </w:r>
          </w:p>
          <w:p w:rsidR="00C165EA" w:rsidRPr="00816DA1" w:rsidRDefault="00C165EA" w:rsidP="00B3138F">
            <w:pPr>
              <w:jc w:val="both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2097" w:type="dxa"/>
          </w:tcPr>
          <w:p w:rsidR="00C165EA" w:rsidRPr="00816DA1" w:rsidRDefault="00C165EA" w:rsidP="00B3138F">
            <w:pPr>
              <w:rPr>
                <w:rFonts w:eastAsiaTheme="minorEastAsia"/>
              </w:rPr>
            </w:pPr>
          </w:p>
        </w:tc>
      </w:tr>
      <w:tr w:rsidR="00C165EA" w:rsidRPr="00816DA1" w:rsidTr="00B3138F">
        <w:trPr>
          <w:trHeight w:val="80"/>
        </w:trPr>
        <w:tc>
          <w:tcPr>
            <w:tcW w:w="7797" w:type="dxa"/>
          </w:tcPr>
          <w:p w:rsidR="00C165EA" w:rsidRDefault="00C165EA" w:rsidP="00B3138F">
            <w:pPr>
              <w:jc w:val="both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IS: For at bevise </w:t>
            </w:r>
            <m:oMath>
              <m:r>
                <w:rPr>
                  <w:rFonts w:ascii="Cambria Math" w:eastAsiaTheme="minorEastAsia" w:hAnsi="Cambria Math"/>
                </w:rPr>
                <m:t>P(k)</m:t>
              </m:r>
            </m:oMath>
            <w:r>
              <w:rPr>
                <w:rFonts w:eastAsiaTheme="minorEastAsia"/>
                <w:i/>
              </w:rPr>
              <w:t xml:space="preserve"> er sandt, så: </w:t>
            </w:r>
          </w:p>
          <w:p w:rsidR="00C165EA" w:rsidRPr="00816DA1" w:rsidRDefault="00C165EA" w:rsidP="00B3138F">
            <w:pPr>
              <w:jc w:val="both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=at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=a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=a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2097" w:type="dxa"/>
          </w:tcPr>
          <w:p w:rsidR="00C165EA" w:rsidRDefault="00C165EA" w:rsidP="00B3138F">
            <w:pPr>
              <w:rPr>
                <w:rFonts w:eastAsiaTheme="minorEastAsia"/>
              </w:rPr>
            </w:pPr>
          </w:p>
          <w:p w:rsidR="00C165EA" w:rsidRDefault="00C165EA" w:rsidP="00B3138F">
            <w:pPr>
              <w:rPr>
                <w:rFonts w:eastAsiaTheme="minorEastAsia"/>
              </w:rPr>
            </w:pPr>
          </w:p>
          <w:p w:rsidR="00C165EA" w:rsidRPr="00816DA1" w:rsidRDefault="00C165EA" w:rsidP="00B3138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(Induktive hypotese)</w:t>
            </w:r>
          </w:p>
        </w:tc>
      </w:tr>
      <w:tr w:rsidR="00C165EA" w:rsidTr="00B3138F">
        <w:trPr>
          <w:trHeight w:val="80"/>
        </w:trPr>
        <w:tc>
          <w:tcPr>
            <w:tcW w:w="7797" w:type="dxa"/>
          </w:tcPr>
          <w:p w:rsidR="00C165EA" w:rsidRPr="00816DA1" w:rsidRDefault="00C165EA" w:rsidP="00B3138F">
            <w:pPr>
              <w:jc w:val="both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Dermed er </w:t>
            </w:r>
            <m:oMath>
              <m:r>
                <w:rPr>
                  <w:rFonts w:ascii="Cambria Math" w:eastAsia="Times New Roman" w:hAnsi="Cambria Math" w:cs="Times New Roman"/>
                </w:rPr>
                <m:t>P(k)</m:t>
              </m:r>
            </m:oMath>
            <w:r>
              <w:rPr>
                <w:rFonts w:ascii="Calibri" w:eastAsia="Times New Roman" w:hAnsi="Calibri" w:cs="Times New Roman"/>
              </w:rPr>
              <w:t xml:space="preserve"> sandt og </w:t>
            </w:r>
          </w:p>
        </w:tc>
        <w:tc>
          <w:tcPr>
            <w:tcW w:w="2097" w:type="dxa"/>
          </w:tcPr>
          <w:p w:rsidR="00C165EA" w:rsidRDefault="00C165EA" w:rsidP="00B3138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Konklusion</w:t>
            </w:r>
          </w:p>
        </w:tc>
      </w:tr>
    </w:tbl>
    <w:p w:rsidR="00C165EA" w:rsidRDefault="00C165EA" w:rsidP="00C165EA"/>
    <w:p w:rsidR="00C165EA" w:rsidRPr="00695C71" w:rsidRDefault="00C165EA" w:rsidP="00C165EA"/>
    <w:p w:rsidR="00C165EA" w:rsidRDefault="00C165EA" w:rsidP="00C165EA">
      <w:pPr>
        <w:rPr>
          <w:b/>
        </w:rPr>
      </w:pPr>
      <w:r>
        <w:rPr>
          <w:b/>
        </w:rPr>
        <w:t xml:space="preserve">Stærk induktion: </w:t>
      </w:r>
    </w:p>
    <w:p w:rsidR="00C165EA" w:rsidRDefault="00C165EA" w:rsidP="00C165EA">
      <w:r>
        <w:t xml:space="preserve">Forskel fra svag induktion -&gt; Fremkommer i den induktive hypotese -&gt; Indebærer at bevise at: </w:t>
      </w:r>
    </w:p>
    <w:p w:rsidR="00C165EA" w:rsidRDefault="005C41C7" w:rsidP="00C165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∧P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  <m:r>
                <w:rPr>
                  <w:rFonts w:ascii="Cambria Math" w:eastAsiaTheme="minorEastAsia" w:hAnsi="Cambria Math"/>
                </w:rPr>
                <m:t>∧…∧P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 xml:space="preserve">   hvis   k≥a</m:t>
          </m:r>
        </m:oMath>
      </m:oMathPara>
    </w:p>
    <w:p w:rsidR="00C165EA" w:rsidRDefault="00C165EA" w:rsidP="00C165EA">
      <w:r>
        <w:t xml:space="preserve">Fordele og begrænsninger: </w:t>
      </w:r>
    </w:p>
    <w:p w:rsidR="00C165EA" w:rsidRDefault="00C165EA" w:rsidP="00C165EA">
      <w:pPr>
        <w:pStyle w:val="Listeafsnit"/>
        <w:numPr>
          <w:ilvl w:val="0"/>
          <w:numId w:val="1"/>
        </w:numPr>
      </w:pPr>
      <w:r>
        <w:t xml:space="preserve">Særlig brugbart ift. sekvenser </w:t>
      </w:r>
    </w:p>
    <w:p w:rsidR="00C165EA" w:rsidRDefault="00C165EA" w:rsidP="00C165EA">
      <w:pPr>
        <w:pStyle w:val="Listeafsnit"/>
        <w:numPr>
          <w:ilvl w:val="0"/>
          <w:numId w:val="1"/>
        </w:numPr>
      </w:pPr>
      <w:r>
        <w:t xml:space="preserve">Gør det muligt at bekræfte om en </w:t>
      </w:r>
      <w:proofErr w:type="spellStart"/>
      <w:r>
        <w:t>closed</w:t>
      </w:r>
      <w:proofErr w:type="spellEnd"/>
      <w:r>
        <w:t xml:space="preserve"> form er en løsning til en </w:t>
      </w:r>
      <w:proofErr w:type="spellStart"/>
      <w:r>
        <w:t>recurrence</w:t>
      </w:r>
      <w:proofErr w:type="spellEnd"/>
      <w:r>
        <w:t xml:space="preserve"> relation</w:t>
      </w:r>
    </w:p>
    <w:p w:rsidR="00C165EA" w:rsidRDefault="00C165EA" w:rsidP="00C165EA">
      <w:pPr>
        <w:pStyle w:val="Listeafsnit"/>
        <w:numPr>
          <w:ilvl w:val="0"/>
          <w:numId w:val="1"/>
        </w:numPr>
      </w:pPr>
      <w:r>
        <w:t xml:space="preserve">Vigtig ift. </w:t>
      </w:r>
      <w:proofErr w:type="spellStart"/>
      <w:r>
        <w:t>recursion</w:t>
      </w:r>
      <w:proofErr w:type="spellEnd"/>
      <w:r>
        <w:t xml:space="preserve"> -&gt; Man skal have et basecase til at </w:t>
      </w:r>
      <w:proofErr w:type="spellStart"/>
      <w:r>
        <w:t>terminere</w:t>
      </w:r>
      <w:proofErr w:type="spellEnd"/>
      <w:r>
        <w:t xml:space="preserve"> på. </w:t>
      </w:r>
    </w:p>
    <w:p w:rsidR="00C165EA" w:rsidRPr="00EE2B1E" w:rsidRDefault="00C165EA" w:rsidP="00C165EA">
      <w:pPr>
        <w:pStyle w:val="Listeafsnit"/>
        <w:numPr>
          <w:ilvl w:val="0"/>
          <w:numId w:val="1"/>
        </w:numPr>
      </w:pPr>
      <w:r>
        <w:t xml:space="preserve">Ikke beviset man vælger til et simpelt </w:t>
      </w:r>
      <m:oMath>
        <m:r>
          <w:rPr>
            <w:rFonts w:ascii="Cambria Math" w:hAnsi="Cambria Math"/>
          </w:rPr>
          <m:t>P→Q</m:t>
        </m:r>
      </m:oMath>
      <w:r>
        <w:rPr>
          <w:rFonts w:eastAsiaTheme="minorEastAsia"/>
        </w:rPr>
        <w:t xml:space="preserve"> </w:t>
      </w:r>
    </w:p>
    <w:p w:rsidR="00CB4D0B" w:rsidRDefault="005C41C7"/>
    <w:sectPr w:rsidR="00CB4D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A7D2E"/>
    <w:multiLevelType w:val="hybridMultilevel"/>
    <w:tmpl w:val="00C83A28"/>
    <w:lvl w:ilvl="0" w:tplc="DE888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EA"/>
    <w:rsid w:val="005C41C7"/>
    <w:rsid w:val="006D69EA"/>
    <w:rsid w:val="0084419C"/>
    <w:rsid w:val="00916951"/>
    <w:rsid w:val="00A61CA3"/>
    <w:rsid w:val="00C165EA"/>
    <w:rsid w:val="00E6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96DB"/>
  <w15:chartTrackingRefBased/>
  <w15:docId w15:val="{5E555716-58E7-43C9-A679-409128CC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5E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165EA"/>
    <w:pPr>
      <w:ind w:left="720"/>
      <w:contextualSpacing/>
    </w:pPr>
  </w:style>
  <w:style w:type="table" w:styleId="Tabel-Gitter">
    <w:name w:val="Table Grid"/>
    <w:basedOn w:val="Tabel-Normal"/>
    <w:uiPriority w:val="39"/>
    <w:rsid w:val="00C16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E670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237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chrmorup@gmail.com</dc:creator>
  <cp:keywords/>
  <dc:description/>
  <cp:lastModifiedBy>Daniel Knudsen</cp:lastModifiedBy>
  <cp:revision>3</cp:revision>
  <dcterms:created xsi:type="dcterms:W3CDTF">2020-01-09T08:12:00Z</dcterms:created>
  <dcterms:modified xsi:type="dcterms:W3CDTF">2020-01-09T12:18:00Z</dcterms:modified>
</cp:coreProperties>
</file>