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3205010120220530506275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2022-05-30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321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不可抗力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30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