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287c7a29c3d3e0f4f8f6d3bc9c43acb2a268ea"/>
    <w:p>
      <w:pPr>
        <w:pStyle w:val="Heading1"/>
      </w:pPr>
      <w:r>
        <w:t xml:space="preserve">INKAR-based Municipal Vulnerability Index</w:t>
      </w:r>
    </w:p>
    <w:bookmarkStart w:id="9" w:name="briefing-note-for-the-gfz-meeting"/>
    <w:p>
      <w:pPr>
        <w:pStyle w:val="Heading2"/>
      </w:pPr>
      <w:r>
        <w:t xml:space="preserve">Briefing note for the GFZ meeting</w:t>
      </w:r>
    </w:p>
    <w:bookmarkEnd w:id="9"/>
    <w:bookmarkStart w:id="10" w:name="X94e199eb5f0e573a418571b7949dfc35ca03186"/>
    <w:p>
      <w:pPr>
        <w:pStyle w:val="Heading2"/>
      </w:pPr>
      <w:r>
        <w:t xml:space="preserve">1. Purpose of this note</w:t>
      </w:r>
    </w:p>
    <w:p>
      <w:pPr>
        <w:pStyle w:val="FirstParagraph"/>
      </w:pPr>
      <w:r>
        <w:t xml:space="preserve">This briefing note summarises the socio-economic data basis of the thesis, the logic of the vulnerability index, the difference between the first wide PCA approach and the redesigned approach, and the implications for a possible Germany-wide transfer of the socio-economic part of the index.</w:t>
      </w:r>
    </w:p>
    <w:p>
      <w:pPr>
        <w:pStyle w:val="BodyText"/>
      </w:pPr>
      <w:r>
        <w:t xml:space="preserve">A practical rule for the meeting is the following:</w:t>
      </w:r>
    </w:p>
    <w:p>
      <w:pPr>
        <w:pStyle w:val="Compact"/>
        <w:numPr>
          <w:ilvl w:val="0"/>
          <w:numId w:val="1001"/>
        </w:numPr>
      </w:pPr>
      <w:r>
        <w:t xml:space="preserve">when presenting variables, start with the original INKAR code and the official INKAR indicator name</w:t>
      </w:r>
    </w:p>
    <w:p>
      <w:pPr>
        <w:pStyle w:val="Compact"/>
        <w:numPr>
          <w:ilvl w:val="0"/>
          <w:numId w:val="1001"/>
        </w:numPr>
      </w:pPr>
      <w:r>
        <w:t xml:space="preserve">only afterwards refer to the internal project variable names</w:t>
      </w:r>
    </w:p>
    <w:p>
      <w:pPr>
        <w:pStyle w:val="Compact"/>
        <w:numPr>
          <w:ilvl w:val="0"/>
          <w:numId w:val="1001"/>
        </w:numPr>
      </w:pPr>
      <w:r>
        <w:t xml:space="preserve">make clear that the socio-economic index is conceptually more transferable across Germany than the hazard and protection components</w:t>
      </w:r>
    </w:p>
    <w:bookmarkEnd w:id="10"/>
    <w:bookmarkStart w:id="11" w:name="Xadd3cde106ea3b929bf1de9ba3c178a4a14a90d"/>
    <w:p>
      <w:pPr>
        <w:pStyle w:val="Heading2"/>
      </w:pPr>
      <w:r>
        <w:t xml:space="preserve">2. The INKAR dataset in this project</w:t>
      </w:r>
    </w:p>
    <w:p>
      <w:pPr>
        <w:pStyle w:val="FirstParagraph"/>
      </w:pPr>
      <w:r>
        <w:t xml:space="preserve">The socio-economic part of the thesis is based on the BBSR INKAR 2025 dataset.</w:t>
      </w:r>
    </w:p>
    <w:p>
      <w:pPr>
        <w:pStyle w:val="BodyText"/>
      </w:pPr>
      <w:r>
        <w:t xml:space="preserve">Key facts:</w:t>
      </w:r>
    </w:p>
    <w:p>
      <w:pPr>
        <w:pStyle w:val="Compact"/>
        <w:numPr>
          <w:ilvl w:val="0"/>
          <w:numId w:val="1002"/>
        </w:numPr>
      </w:pPr>
      <w:r>
        <w:t xml:space="preserve">raw format: large CSV in long format</w:t>
      </w:r>
    </w:p>
    <w:p>
      <w:pPr>
        <w:pStyle w:val="Compact"/>
        <w:numPr>
          <w:ilvl w:val="0"/>
          <w:numId w:val="1002"/>
        </w:numPr>
      </w:pPr>
      <w:r>
        <w:t xml:space="preserve">raw size: 63,426,864 rows</w:t>
      </w:r>
    </w:p>
    <w:p>
      <w:pPr>
        <w:pStyle w:val="Compact"/>
        <w:numPr>
          <w:ilvl w:val="0"/>
          <w:numId w:val="1002"/>
        </w:numPr>
      </w:pPr>
      <w:r>
        <w:t xml:space="preserve">top-level areas in the raw data: EU, LRB, SDG, ZOM</w:t>
      </w:r>
    </w:p>
    <w:p>
      <w:pPr>
        <w:pStyle w:val="Compact"/>
        <w:numPr>
          <w:ilvl w:val="0"/>
          <w:numId w:val="1002"/>
        </w:numPr>
      </w:pPr>
      <w:r>
        <w:t xml:space="preserve">number of spatial-reference categories in the raw data: 45</w:t>
      </w:r>
    </w:p>
    <w:p>
      <w:pPr>
        <w:pStyle w:val="FirstParagraph"/>
      </w:pPr>
      <w:r>
        <w:t xml:space="preserve">For the municipal analysis, the raw file was filtered to: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Bereich = LRB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Raumbezug = Gemeinden</w:t>
      </w:r>
    </w:p>
    <w:p>
      <w:pPr>
        <w:pStyle w:val="FirstParagraph"/>
      </w:pPr>
      <w:r>
        <w:t xml:space="preserve">This Germany-wide municipal subset contains:</w:t>
      </w:r>
    </w:p>
    <w:p>
      <w:pPr>
        <w:pStyle w:val="Compact"/>
        <w:numPr>
          <w:ilvl w:val="0"/>
          <w:numId w:val="1004"/>
        </w:numPr>
      </w:pPr>
      <w:r>
        <w:t xml:space="preserve">26,879,954 rows</w:t>
      </w:r>
    </w:p>
    <w:p>
      <w:pPr>
        <w:pStyle w:val="Compact"/>
        <w:numPr>
          <w:ilvl w:val="0"/>
          <w:numId w:val="1004"/>
        </w:numPr>
      </w:pPr>
      <w:r>
        <w:t xml:space="preserve">10,978 municipalities</w:t>
      </w:r>
    </w:p>
    <w:p>
      <w:pPr>
        <w:pStyle w:val="Compact"/>
        <w:numPr>
          <w:ilvl w:val="0"/>
          <w:numId w:val="1004"/>
        </w:numPr>
      </w:pPr>
      <w:r>
        <w:t xml:space="preserve">176 municipality-level indicators</w:t>
      </w:r>
    </w:p>
    <w:p>
      <w:pPr>
        <w:pStyle w:val="Compact"/>
        <w:numPr>
          <w:ilvl w:val="0"/>
          <w:numId w:val="1004"/>
        </w:numPr>
      </w:pPr>
      <w:r>
        <w:t xml:space="preserve">reference years ranging from 1995 to 2024</w:t>
      </w:r>
    </w:p>
    <w:p>
      <w:pPr>
        <w:pStyle w:val="FirstParagraph"/>
      </w:pPr>
      <w:r>
        <w:t xml:space="preserve">For the Elbe application, the data were then restricted to the AGS prefixes relevant for the Elbe basin study area.</w:t>
      </w:r>
    </w:p>
    <w:p>
      <w:pPr>
        <w:pStyle w:val="BodyText"/>
      </w:pPr>
      <w:r>
        <w:t xml:space="preserve">Important implication:</w:t>
      </w:r>
    </w:p>
    <w:p>
      <w:pPr>
        <w:pStyle w:val="BodyText"/>
      </w:pPr>
      <w:r>
        <w:t xml:space="preserve">The INKAR part is not inherently Elbe-specific. It becomes Elbe-specific only through the later AGS-based spatial filtering and the join with flood-related layers.</w:t>
      </w:r>
    </w:p>
    <w:bookmarkEnd w:id="11"/>
    <w:bookmarkStart w:id="12" w:name="X7e8f069a238a8694524108d341e667a3f3d2bdf"/>
    <w:p>
      <w:pPr>
        <w:pStyle w:val="Heading2"/>
      </w:pPr>
      <w:r>
        <w:t xml:space="preserve">3. Germany-wide availability of municipality indicators</w:t>
      </w:r>
    </w:p>
    <w:p>
      <w:pPr>
        <w:pStyle w:val="FirstParagraph"/>
      </w:pPr>
      <w:r>
        <w:t xml:space="preserve">After filtering to all 16 federal-state AGS prefixes and keeping the most recent available value for each municipality-indicator combination, the availability pattern is as follows:</w:t>
      </w:r>
    </w:p>
    <w:p>
      <w:pPr>
        <w:pStyle w:val="Compact"/>
        <w:numPr>
          <w:ilvl w:val="0"/>
          <w:numId w:val="1005"/>
        </w:numPr>
      </w:pPr>
      <w:r>
        <w:t xml:space="preserve">municipality indicators in total: 176</w:t>
      </w:r>
    </w:p>
    <w:p>
      <w:pPr>
        <w:pStyle w:val="Compact"/>
        <w:numPr>
          <w:ilvl w:val="0"/>
          <w:numId w:val="1005"/>
        </w:numPr>
      </w:pPr>
      <w:r>
        <w:t xml:space="preserve">indicators present in all 16 federal states: 173</w:t>
      </w:r>
    </w:p>
    <w:p>
      <w:pPr>
        <w:pStyle w:val="Compact"/>
        <w:numPr>
          <w:ilvl w:val="0"/>
          <w:numId w:val="1005"/>
        </w:numPr>
      </w:pPr>
      <w:r>
        <w:t xml:space="preserve">indicators with full municipality coverage in all 16 federal states: 32</w:t>
      </w:r>
    </w:p>
    <w:p>
      <w:pPr>
        <w:pStyle w:val="Compact"/>
        <w:numPr>
          <w:ilvl w:val="0"/>
          <w:numId w:val="1005"/>
        </w:numPr>
      </w:pPr>
      <w:r>
        <w:t xml:space="preserve">indicators not present in all 16 federal states: 3</w:t>
      </w:r>
    </w:p>
    <w:p>
      <w:pPr>
        <w:pStyle w:val="FirstParagraph"/>
      </w:pPr>
      <w:r>
        <w:t xml:space="preserve">The three indicators that are not present in all 16 states are all from public-finance reporting: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q_sach</w:t>
      </w:r>
      <w:r>
        <w:t xml:space="preserve"> </w:t>
      </w:r>
      <w:r>
        <w:t xml:space="preserve">- Ausgaben für Sachinvestitionen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q_schlüsselzuw</w:t>
      </w:r>
      <w:r>
        <w:t xml:space="preserve"> </w:t>
      </w:r>
      <w:r>
        <w:t xml:space="preserve">- Schlüsselzuweisungen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q_investZ</w:t>
      </w:r>
      <w:r>
        <w:t xml:space="preserve"> </w:t>
      </w:r>
      <w:r>
        <w:t xml:space="preserve">- Zuweisungen für Investitionsfördermaßnahmen</w:t>
      </w:r>
    </w:p>
    <w:p>
      <w:pPr>
        <w:pStyle w:val="FirstParagraph"/>
      </w:pPr>
      <w:r>
        <w:t xml:space="preserve">Interpretation for the meeting:</w:t>
      </w:r>
    </w:p>
    <w:p>
      <w:pPr>
        <w:pStyle w:val="Compact"/>
        <w:numPr>
          <w:ilvl w:val="0"/>
          <w:numId w:val="1007"/>
        </w:numPr>
      </w:pPr>
      <w:r>
        <w:t xml:space="preserve">the socio-economic side of the index is, in principle, transferable to Germany as a whole</w:t>
      </w:r>
    </w:p>
    <w:p>
      <w:pPr>
        <w:pStyle w:val="Compact"/>
        <w:numPr>
          <w:ilvl w:val="0"/>
          <w:numId w:val="1007"/>
        </w:numPr>
      </w:pPr>
      <w:r>
        <w:t xml:space="preserve">the real bottleneck is not basic indicator presence across states, but municipality-level completeness and the availability and comparability of hazard and protection data</w:t>
      </w:r>
    </w:p>
    <w:bookmarkEnd w:id="12"/>
    <w:bookmarkStart w:id="13" w:name="X5de4857c00f4a0a20ecccf5a6e69af42986abcb"/>
    <w:p>
      <w:pPr>
        <w:pStyle w:val="Heading2"/>
      </w:pPr>
      <w:r>
        <w:t xml:space="preserve">4. Naming chain: original INKAR names versus project names</w:t>
      </w:r>
    </w:p>
    <w:p>
      <w:pPr>
        <w:pStyle w:val="FirstParagraph"/>
      </w:pPr>
      <w:r>
        <w:t xml:space="preserve">Three naming layers have to be distinguished clearly.</w:t>
      </w:r>
    </w:p>
    <w:p>
      <w:pPr>
        <w:pStyle w:val="Compact"/>
        <w:numPr>
          <w:ilvl w:val="0"/>
          <w:numId w:val="1008"/>
        </w:numPr>
      </w:pPr>
      <w:r>
        <w:t xml:space="preserve">Original INKAR code in the raw dataset, for example</w:t>
      </w:r>
      <w:r>
        <w:t xml:space="preserve"> </w:t>
      </w:r>
      <w:r>
        <w:rPr>
          <w:rStyle w:val="VerbatimChar"/>
        </w:rPr>
        <w:t xml:space="preserve">a_ALGII_SGBII</w:t>
      </w:r>
    </w:p>
    <w:p>
      <w:pPr>
        <w:pStyle w:val="Compact"/>
        <w:numPr>
          <w:ilvl w:val="0"/>
          <w:numId w:val="1008"/>
        </w:numPr>
      </w:pPr>
      <w:r>
        <w:t xml:space="preserve">Internal cleaned name after the first harmonisation step, for example</w:t>
      </w:r>
      <w:r>
        <w:t xml:space="preserve"> </w:t>
      </w:r>
      <w:r>
        <w:rPr>
          <w:rStyle w:val="VerbatimChar"/>
        </w:rPr>
        <w:t xml:space="preserve">share_alg2_sgb2</w:t>
      </w:r>
    </w:p>
    <w:p>
      <w:pPr>
        <w:pStyle w:val="Compact"/>
        <w:numPr>
          <w:ilvl w:val="0"/>
          <w:numId w:val="1008"/>
        </w:numPr>
      </w:pPr>
      <w:r>
        <w:t xml:space="preserve">Final joined analysis name after the spatial merge, for example</w:t>
      </w:r>
      <w:r>
        <w:t xml:space="preserve"> </w:t>
      </w:r>
      <w:r>
        <w:rPr>
          <w:rStyle w:val="VerbatimChar"/>
        </w:rPr>
        <w:t xml:space="preserve">exposure_share_alg2_sgb2</w:t>
      </w:r>
    </w:p>
    <w:p>
      <w:pPr>
        <w:pStyle w:val="FirstParagraph"/>
      </w:pPr>
      <w:r>
        <w:t xml:space="preserve">For presentation purposes, the original INKAR code and the official INKAR indicator name should always come first.</w:t>
      </w:r>
    </w:p>
    <w:bookmarkEnd w:id="13"/>
    <w:bookmarkStart w:id="14" w:name="X6a509eeeb647a3abec67c6357e16958621963f0"/>
    <w:p>
      <w:pPr>
        <w:pStyle w:val="Heading2"/>
      </w:pPr>
      <w:r>
        <w:t xml:space="preserve">5. Final redesigned index: retained core variables</w:t>
      </w:r>
    </w:p>
    <w:p>
      <w:pPr>
        <w:pStyle w:val="FirstParagraph"/>
      </w:pPr>
      <w:r>
        <w:t xml:space="preserve">The redesigned main index uses a reduced and theory-led set of core indicators. The official INKAR names are kept in German here in order to preserve the original source terminology.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INKAR code</w:t>
            </w:r>
          </w:p>
        </w:tc>
        <w:tc>
          <w:tcPr/>
          <w:p>
            <w:pPr>
              <w:pStyle w:val="Compact"/>
            </w:pPr>
            <w:r>
              <w:t xml:space="preserve">Official INKAR indicator name</w:t>
            </w:r>
          </w:p>
        </w:tc>
        <w:tc>
          <w:tcPr/>
          <w:p>
            <w:pPr>
              <w:pStyle w:val="Compact"/>
            </w:pPr>
            <w:r>
              <w:t xml:space="preserve">Internal project name</w:t>
            </w:r>
          </w:p>
        </w:tc>
        <w:tc>
          <w:tcPr/>
          <w:p>
            <w:pPr>
              <w:pStyle w:val="Compact"/>
            </w:pPr>
            <w:r>
              <w:t xml:space="preserve">Analytical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a_ALGII_SGBII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 II-Leistungen an SGBII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share_alg2_sgb2</w:t>
            </w:r>
          </w:p>
        </w:tc>
        <w:tc>
          <w:tcPr/>
          <w:p>
            <w:pPr>
              <w:pStyle w:val="Compact"/>
            </w:pPr>
            <w:r>
              <w:t xml:space="preserve">core deprivation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a_Unterkunft_SGBII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Leistungen für Unterkunft an SGBII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share_sgb2_with_housing_costs</w:t>
            </w:r>
          </w:p>
        </w:tc>
        <w:tc>
          <w:tcPr/>
          <w:p>
            <w:pPr>
              <w:pStyle w:val="Compact"/>
            </w:pPr>
            <w:r>
              <w:t xml:space="preserve">core deprivation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a_aloLang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Langzeitarbeitslose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share_longterm_unemp</w:t>
            </w:r>
          </w:p>
        </w:tc>
        <w:tc>
          <w:tcPr/>
          <w:p>
            <w:pPr>
              <w:pStyle w:val="Compact"/>
            </w:pPr>
            <w:r>
              <w:t xml:space="preserve">core deprivation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q_alo_u25_einw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Jüngere Arbeitslose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unemp_u25_per_1000</w:t>
            </w:r>
          </w:p>
        </w:tc>
        <w:tc>
          <w:tcPr/>
          <w:p>
            <w:pPr>
              <w:pStyle w:val="Compact"/>
            </w:pPr>
            <w:r>
              <w:t xml:space="preserve">core deprivation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q_kaufkraft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Kaufkraft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purchasing_power</w:t>
            </w:r>
          </w:p>
        </w:tc>
        <w:tc>
          <w:tcPr/>
          <w:p>
            <w:pPr>
              <w:pStyle w:val="Compact"/>
            </w:pPr>
            <w:r>
              <w:t xml:space="preserve">core deprivation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a_hheink_niedrig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Haushalte mit niedrigem Einkommen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share_hh_income_low</w:t>
            </w:r>
          </w:p>
        </w:tc>
        <w:tc>
          <w:tcPr/>
          <w:p>
            <w:pPr>
              <w:pStyle w:val="Compact"/>
            </w:pPr>
            <w:r>
              <w:t xml:space="preserve">core deprivation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a_bev65um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Einwohner 65 Jahre und älter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share_age_65plus</w:t>
            </w:r>
          </w:p>
        </w:tc>
        <w:tc>
          <w:tcPr/>
          <w:p>
            <w:pPr>
              <w:pStyle w:val="Compact"/>
            </w:pPr>
            <w:r>
              <w:t xml:space="preserve">core age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a_bev75um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Einwohner 75 Jahre und älter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share_age_75plus</w:t>
            </w:r>
          </w:p>
        </w:tc>
        <w:tc>
          <w:tcPr/>
          <w:p>
            <w:pPr>
              <w:pStyle w:val="Compact"/>
            </w:pPr>
            <w:r>
              <w:t xml:space="preserve">core age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q_abhg_alt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Abhängigenquote Alte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old_age_dependency</w:t>
            </w:r>
          </w:p>
        </w:tc>
        <w:tc>
          <w:tcPr/>
          <w:p>
            <w:pPr>
              <w:pStyle w:val="Compact"/>
            </w:pPr>
            <w:r>
              <w:t xml:space="preserve">core age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a_BG1P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Einpersonen-Bedarfsgemeinschaften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share_bg_single_parent</w:t>
            </w:r>
          </w:p>
        </w:tc>
        <w:tc>
          <w:tcPr/>
          <w:p>
            <w:pPr>
              <w:pStyle w:val="Compact"/>
            </w:pPr>
            <w:r>
              <w:t xml:space="preserve">current project label is likely misleading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q_HH1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Einpersonenhaushalte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share_single_households</w:t>
            </w:r>
          </w:p>
        </w:tc>
        <w:tc>
          <w:tcPr/>
          <w:p>
            <w:pPr>
              <w:pStyle w:val="Compact"/>
            </w:pPr>
            <w:r>
              <w:t xml:space="preserve">core household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m_OEV20_DIST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Entfernung zur ÖV Haltestelle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dist_public_transport_m</w:t>
            </w:r>
          </w:p>
        </w:tc>
        <w:tc>
          <w:tcPr/>
          <w:p>
            <w:pPr>
              <w:pStyle w:val="Compact"/>
            </w:pPr>
            <w:r>
              <w:t xml:space="preserve">core accessibility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m_Q07_HA_DIST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Entfernung zum Hausarzt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dist_gp_m</w:t>
            </w:r>
          </w:p>
        </w:tc>
        <w:tc>
          <w:tcPr/>
          <w:p>
            <w:pPr>
              <w:pStyle w:val="Compact"/>
            </w:pPr>
            <w:r>
              <w:t xml:space="preserve">core accessibility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m_Q01_APO_DIST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Entfernung zur Apotheke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dist_pharmacy_m</w:t>
            </w:r>
          </w:p>
        </w:tc>
        <w:tc>
          <w:tcPr/>
          <w:p>
            <w:pPr>
              <w:pStyle w:val="Compact"/>
            </w:pPr>
            <w:r>
              <w:t xml:space="preserve">core accessibility</w:t>
            </w:r>
          </w:p>
        </w:tc>
      </w:tr>
    </w:tbl>
    <w:bookmarkEnd w:id="14"/>
    <w:bookmarkStart w:id="15" w:name="X112e5664b3c8aaec1ca8918dbfaeaa160f66bca"/>
    <w:p>
      <w:pPr>
        <w:pStyle w:val="Heading2"/>
      </w:pPr>
      <w:r>
        <w:t xml:space="preserve">6. Optional sensitivity variables in the redesign</w:t>
      </w:r>
    </w:p>
    <w:p>
      <w:pPr>
        <w:pStyle w:val="FirstParagraph"/>
      </w:pPr>
      <w:r>
        <w:t xml:space="preserve">These variables were not kept in the core index but remain available for robustness checks.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INKAR code</w:t>
            </w:r>
          </w:p>
        </w:tc>
        <w:tc>
          <w:tcPr/>
          <w:p>
            <w:pPr>
              <w:pStyle w:val="Compact"/>
            </w:pPr>
            <w:r>
              <w:t xml:space="preserve">Official INKAR indicator name</w:t>
            </w:r>
          </w:p>
        </w:tc>
        <w:tc>
          <w:tcPr/>
          <w:p>
            <w:pPr>
              <w:pStyle w:val="Compact"/>
            </w:pPr>
            <w:r>
              <w:t xml:space="preserve">Internal project name</w:t>
            </w:r>
          </w:p>
        </w:tc>
        <w:tc>
          <w:tcPr/>
          <w:p>
            <w:pPr>
              <w:pStyle w:val="Compact"/>
            </w:pPr>
            <w:r>
              <w:t xml:space="preserve">Analytical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q_ärzte_bev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Ärzte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doctors_total_per_1000</w:t>
            </w:r>
          </w:p>
        </w:tc>
        <w:tc>
          <w:tcPr/>
          <w:p>
            <w:pPr>
              <w:pStyle w:val="Compact"/>
            </w:pPr>
            <w:r>
              <w:t xml:space="preserve">optional health-capacity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m_G02_SUP_DIST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Entfernung zum Supermarkt/Discounter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dist_supermarket_m</w:t>
            </w:r>
          </w:p>
        </w:tc>
        <w:tc>
          <w:tcPr/>
          <w:p>
            <w:pPr>
              <w:pStyle w:val="Compact"/>
            </w:pPr>
            <w:r>
              <w:t xml:space="preserve">optional accessibility proxy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a_bb_100Mbits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Bandbreitenverfügbarkeit mindestens 100 Mbit/s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share_bb_100mbit</w:t>
            </w:r>
          </w:p>
        </w:tc>
        <w:tc>
          <w:tcPr/>
          <w:p>
            <w:pPr>
              <w:pStyle w:val="Compact"/>
            </w:pPr>
            <w:r>
              <w:t xml:space="preserve">optional digital-access proxy</w:t>
            </w:r>
          </w:p>
        </w:tc>
      </w:tr>
    </w:tbl>
    <w:bookmarkEnd w:id="15"/>
    <w:bookmarkStart w:id="16" w:name="X3b3274cd24241b758fbbe7247056c7c4c9abc7f"/>
    <w:p>
      <w:pPr>
        <w:pStyle w:val="Heading2"/>
      </w:pPr>
      <w:r>
        <w:t xml:space="preserve">7. Variables not retained in the final redesigned index</w:t>
      </w:r>
    </w:p>
    <w:p>
      <w:pPr>
        <w:pStyle w:val="FirstParagraph"/>
      </w:pPr>
      <w:r>
        <w:t xml:space="preserve">These are the variables that should still appear in the document with their original names, because they were actively considered but not retained in the final redesigned index.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Original INKAR code</w:t>
            </w:r>
          </w:p>
        </w:tc>
        <w:tc>
          <w:tcPr/>
          <w:p>
            <w:pPr>
              <w:pStyle w:val="Compact"/>
            </w:pPr>
            <w:r>
              <w:t xml:space="preserve">Official INKAR indicator name</w:t>
            </w:r>
          </w:p>
        </w:tc>
        <w:tc>
          <w:tcPr/>
          <w:p>
            <w:pPr>
              <w:pStyle w:val="Compact"/>
            </w:pPr>
            <w:r>
              <w:t xml:space="preserve">Internal project name</w:t>
            </w:r>
          </w:p>
        </w:tc>
        <w:tc>
          <w:tcPr/>
          <w:p>
            <w:pPr>
              <w:pStyle w:val="Compact"/>
            </w:pPr>
            <w:r>
              <w:t xml:space="preserve">Why it was not retained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q_bev_fl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Einwohnerdichte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pop_density_per_km2</w:t>
            </w:r>
          </w:p>
        </w:tc>
        <w:tc>
          <w:tcPr/>
          <w:p>
            <w:pPr>
              <w:pStyle w:val="Compact"/>
            </w:pPr>
            <w:r>
              <w:t xml:space="preserve">settlement structure rather than vulnerability in the narrow sense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q_bevsva_qkm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Einwohner-Arbeitsplatz-Dichte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employment_density_per_km2</w:t>
            </w:r>
          </w:p>
        </w:tc>
        <w:tc>
          <w:tcPr/>
          <w:p>
            <w:pPr>
              <w:pStyle w:val="Compact"/>
            </w:pPr>
            <w:r>
              <w:t xml:space="preserve">structural indicator, not household-level vulnerability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q_gewst_bev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Gewerbesteuer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trade_tax_per_capita</w:t>
            </w:r>
          </w:p>
        </w:tc>
        <w:tc>
          <w:tcPr/>
          <w:p>
            <w:pPr>
              <w:pStyle w:val="Compact"/>
            </w:pPr>
            <w:r>
              <w:t xml:space="preserve">municipal fiscal structure rather than social vulnerability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d_steuereinnahme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Steuereinnahmen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tax_revenue_total</w:t>
            </w:r>
          </w:p>
        </w:tc>
        <w:tc>
          <w:tcPr/>
          <w:p>
            <w:pPr>
              <w:pStyle w:val="Compact"/>
            </w:pPr>
            <w:r>
              <w:t xml:space="preserve">municipal revenue structure rather than household vulnerability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a_hheink_mittel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Haushalte mit mittlerem Einkommen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share_hh_income_medium</w:t>
            </w:r>
          </w:p>
        </w:tc>
        <w:tc>
          <w:tcPr/>
          <w:p>
            <w:pPr>
              <w:pStyle w:val="Compact"/>
            </w:pPr>
            <w:r>
              <w:t xml:space="preserve">redundant once low-income households are already included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a_hheink_hoch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Haushalte mit hohem Einkommen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share_hh_income_high</w:t>
            </w:r>
          </w:p>
        </w:tc>
        <w:tc>
          <w:tcPr/>
          <w:p>
            <w:pPr>
              <w:pStyle w:val="Compact"/>
            </w:pPr>
            <w:r>
              <w:t xml:space="preserve">largely the inverse of low-income share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q_stud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Studierende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students_total_per_1000</w:t>
            </w:r>
          </w:p>
        </w:tc>
        <w:tc>
          <w:tcPr/>
          <w:p>
            <w:pPr>
              <w:pStyle w:val="Compact"/>
            </w:pPr>
            <w:r>
              <w:t xml:space="preserve">conceptually ambiguous for flood vulnerability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q_stud_1825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Studierende je 100 Einwohner 18 bis 25 Jahre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students_18_25_per_1000</w:t>
            </w:r>
          </w:p>
        </w:tc>
        <w:tc>
          <w:tcPr/>
          <w:p>
            <w:pPr>
              <w:pStyle w:val="Compact"/>
            </w:pPr>
            <w:r>
              <w:t xml:space="preserve">conceptually ambiguous for flood vulnerability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q_stud_fh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Studierende an FH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students_fh_per_1000</w:t>
            </w:r>
          </w:p>
        </w:tc>
        <w:tc>
          <w:tcPr/>
          <w:p>
            <w:pPr>
              <w:pStyle w:val="Compact"/>
            </w:pPr>
            <w:r>
              <w:t xml:space="preserve">conceptually ambiguous for flood vulnerability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i_wans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Gesamtwanderungssaldo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migration_balance</w:t>
            </w:r>
          </w:p>
        </w:tc>
        <w:tc>
          <w:tcPr/>
          <w:p>
            <w:pPr>
              <w:pStyle w:val="Compact"/>
            </w:pPr>
            <w:r>
              <w:t xml:space="preserve">demographic dynamics rather than a direct vulnerability marker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i_saldo_nat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Natürlicher Saldo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natural_pop_change</w:t>
            </w:r>
          </w:p>
        </w:tc>
        <w:tc>
          <w:tcPr/>
          <w:p>
            <w:pPr>
              <w:pStyle w:val="Compact"/>
            </w:pPr>
            <w:r>
              <w:t xml:space="preserve">indirect demographic context, not a core vulnerability marker</w:t>
            </w:r>
          </w:p>
        </w:tc>
      </w:tr>
    </w:tbl>
    <w:bookmarkEnd w:id="16"/>
    <w:bookmarkStart w:id="17" w:name="Xd3417ea10c2b6e6d35cf2444d7623bbc0337a38"/>
    <w:p>
      <w:pPr>
        <w:pStyle w:val="Heading2"/>
      </w:pPr>
      <w:r>
        <w:t xml:space="preserve">8. Why the first wide PCA was used in the original analysis</w:t>
      </w:r>
    </w:p>
    <w:p>
      <w:pPr>
        <w:pStyle w:val="FirstParagraph"/>
      </w:pPr>
      <w:r>
        <w:t xml:space="preserve">The first analysis in</w:t>
      </w:r>
      <w:r>
        <w:t xml:space="preserve"> </w:t>
      </w:r>
      <w:r>
        <w:rPr>
          <w:rStyle w:val="VerbatimChar"/>
        </w:rPr>
        <w:t xml:space="preserve">Analyse_CLEAN.R</w:t>
      </w:r>
      <w:r>
        <w:t xml:space="preserve"> </w:t>
      </w:r>
      <w:r>
        <w:t xml:space="preserve">used a very broad exploratory PCA setup.</w:t>
      </w:r>
    </w:p>
    <w:p>
      <w:pPr>
        <w:pStyle w:val="BodyText"/>
      </w:pPr>
      <w:r>
        <w:t xml:space="preserve">Core idea:</w:t>
      </w:r>
    </w:p>
    <w:p>
      <w:pPr>
        <w:pStyle w:val="Compact"/>
        <w:numPr>
          <w:ilvl w:val="0"/>
          <w:numId w:val="1009"/>
        </w:numPr>
      </w:pPr>
      <w:r>
        <w:t xml:space="preserve">start from a high-dimensional vulnerability space rather than from a tightly reduced indicator set</w:t>
      </w:r>
    </w:p>
    <w:p>
      <w:pPr>
        <w:pStyle w:val="Compact"/>
        <w:numPr>
          <w:ilvl w:val="0"/>
          <w:numId w:val="1009"/>
        </w:numPr>
      </w:pPr>
      <w:r>
        <w:t xml:space="preserve">allow the data to reveal latent structure across deprivation, labour market, age structure, household structure, health, digital access, accessibility and density-related variables</w:t>
      </w:r>
    </w:p>
    <w:p>
      <w:pPr>
        <w:pStyle w:val="Compact"/>
        <w:numPr>
          <w:ilvl w:val="0"/>
          <w:numId w:val="1009"/>
        </w:numPr>
      </w:pPr>
      <w:r>
        <w:t xml:space="preserve">build an initial vulnerability index before narrowing the concept more strongly</w:t>
      </w:r>
    </w:p>
    <w:p>
      <w:pPr>
        <w:pStyle w:val="FirstParagraph"/>
      </w:pPr>
      <w:r>
        <w:t xml:space="preserve">Method in the original wide PCA:</w:t>
      </w:r>
    </w:p>
    <w:p>
      <w:pPr>
        <w:pStyle w:val="Compact"/>
        <w:numPr>
          <w:ilvl w:val="0"/>
          <w:numId w:val="1010"/>
        </w:numPr>
      </w:pPr>
      <w:r>
        <w:t xml:space="preserve">52 municipality-level variables entered one single PCA</w:t>
      </w:r>
    </w:p>
    <w:p>
      <w:pPr>
        <w:pStyle w:val="Compact"/>
        <w:numPr>
          <w:ilvl w:val="0"/>
          <w:numId w:val="1010"/>
        </w:numPr>
      </w:pPr>
      <w:r>
        <w:t xml:space="preserve">variables were median-imputed and z-standardised</w:t>
      </w:r>
    </w:p>
    <w:p>
      <w:pPr>
        <w:pStyle w:val="Compact"/>
        <w:numPr>
          <w:ilvl w:val="0"/>
          <w:numId w:val="1010"/>
        </w:numPr>
      </w:pPr>
      <w:r>
        <w:t xml:space="preserve">a global PCA was run on the full set</w:t>
      </w:r>
    </w:p>
    <w:p>
      <w:pPr>
        <w:pStyle w:val="Compact"/>
        <w:numPr>
          <w:ilvl w:val="0"/>
          <w:numId w:val="1010"/>
        </w:numPr>
      </w:pPr>
      <w:r>
        <w:t xml:space="preserve">the first 8 principal components were retained for the main index</w:t>
      </w:r>
    </w:p>
    <w:p>
      <w:pPr>
        <w:pStyle w:val="Compact"/>
        <w:numPr>
          <w:ilvl w:val="0"/>
          <w:numId w:val="1010"/>
        </w:numPr>
      </w:pPr>
      <w:r>
        <w:t xml:space="preserve">a variance-weighted composite score was then built from the retained PCs</w:t>
      </w:r>
    </w:p>
    <w:p>
      <w:pPr>
        <w:pStyle w:val="Compact"/>
        <w:numPr>
          <w:ilvl w:val="0"/>
          <w:numId w:val="1010"/>
        </w:numPr>
      </w:pPr>
      <w:r>
        <w:t xml:space="preserve">the sign of the final index was anchored to</w:t>
      </w:r>
      <w:r>
        <w:t xml:space="preserve"> </w:t>
      </w:r>
      <w:r>
        <w:rPr>
          <w:rStyle w:val="VerbatimChar"/>
        </w:rPr>
        <w:t xml:space="preserve">ALG II / SGB II</w:t>
      </w:r>
      <w:r>
        <w:t xml:space="preserve"> </w:t>
      </w:r>
      <w:r>
        <w:t xml:space="preserve">so that higher values indicate higher vulnerability</w:t>
      </w:r>
    </w:p>
    <w:p>
      <w:pPr>
        <w:pStyle w:val="FirstParagraph"/>
      </w:pPr>
      <w:r>
        <w:t xml:space="preserve">Why this was a defensible first step:</w:t>
      </w:r>
    </w:p>
    <w:p>
      <w:pPr>
        <w:pStyle w:val="Compact"/>
        <w:numPr>
          <w:ilvl w:val="0"/>
          <w:numId w:val="1011"/>
        </w:numPr>
      </w:pPr>
      <w:r>
        <w:t xml:space="preserve">at an early stage, it allowed a broad exploratory scan of the socio-economic structure of the municipalities</w:t>
      </w:r>
    </w:p>
    <w:p>
      <w:pPr>
        <w:pStyle w:val="Compact"/>
        <w:numPr>
          <w:ilvl w:val="0"/>
          <w:numId w:val="1011"/>
        </w:numPr>
      </w:pPr>
      <w:r>
        <w:t xml:space="preserve">it gave an initial picture of which clusters of variables move together</w:t>
      </w:r>
    </w:p>
    <w:p>
      <w:pPr>
        <w:pStyle w:val="Compact"/>
        <w:numPr>
          <w:ilvl w:val="0"/>
          <w:numId w:val="1011"/>
        </w:numPr>
      </w:pPr>
      <w:r>
        <w:t xml:space="preserve">it was useful for identifying multicollinearity and latent structure before a stricter theory-led reduction</w:t>
      </w:r>
    </w:p>
    <w:bookmarkEnd w:id="17"/>
    <w:bookmarkStart w:id="18" w:name="Xb654673f125fa7911f3ed88944b22eb885dd369"/>
    <w:p>
      <w:pPr>
        <w:pStyle w:val="Heading2"/>
      </w:pPr>
      <w:r>
        <w:t xml:space="preserve">9. What the first wide PCA showed, and why it became problematic</w:t>
      </w:r>
    </w:p>
    <w:p>
      <w:pPr>
        <w:pStyle w:val="FirstParagraph"/>
      </w:pPr>
      <w:r>
        <w:t xml:space="preserve">The first wide PCA was useful for exploration, but less convincing as the final design.</w:t>
      </w:r>
    </w:p>
    <w:p>
      <w:pPr>
        <w:pStyle w:val="BodyText"/>
      </w:pPr>
      <w:r>
        <w:t xml:space="preserve">What it showed:</w:t>
      </w:r>
    </w:p>
    <w:p>
      <w:pPr>
        <w:pStyle w:val="Compact"/>
        <w:numPr>
          <w:ilvl w:val="0"/>
          <w:numId w:val="1012"/>
        </w:numPr>
      </w:pPr>
      <w:r>
        <w:t xml:space="preserve">socio-economic disadvantage, labour-market exclusion, ageing, accessibility and settlement structure are all entangled in the municipality data</w:t>
      </w:r>
    </w:p>
    <w:p>
      <w:pPr>
        <w:pStyle w:val="Compact"/>
        <w:numPr>
          <w:ilvl w:val="0"/>
          <w:numId w:val="1012"/>
        </w:numPr>
      </w:pPr>
      <w:r>
        <w:t xml:space="preserve">a single global PCA can compress a very broad indicator space into a manageable structure</w:t>
      </w:r>
    </w:p>
    <w:p>
      <w:pPr>
        <w:pStyle w:val="Compact"/>
        <w:numPr>
          <w:ilvl w:val="0"/>
          <w:numId w:val="1012"/>
        </w:numPr>
      </w:pPr>
      <w:r>
        <w:t xml:space="preserve">the broad variable pool was useful to identify which indicators were likely to be redundant or overly structural</w:t>
      </w:r>
    </w:p>
    <w:p>
      <w:pPr>
        <w:pStyle w:val="FirstParagraph"/>
      </w:pPr>
      <w:r>
        <w:t xml:space="preserve">What became problematic:</w:t>
      </w:r>
    </w:p>
    <w:p>
      <w:pPr>
        <w:pStyle w:val="Compact"/>
        <w:numPr>
          <w:ilvl w:val="0"/>
          <w:numId w:val="1013"/>
        </w:numPr>
      </w:pPr>
      <w:r>
        <w:t xml:space="preserve">the components mixed conceptually different things such as deprivation, ageing, urbanity, accessibility and infrastructure</w:t>
      </w:r>
    </w:p>
    <w:p>
      <w:pPr>
        <w:pStyle w:val="Compact"/>
        <w:numPr>
          <w:ilvl w:val="0"/>
          <w:numId w:val="1013"/>
        </w:numPr>
      </w:pPr>
      <w:r>
        <w:t xml:space="preserve">several indicators were structurally redundant</w:t>
      </w:r>
    </w:p>
    <w:p>
      <w:pPr>
        <w:pStyle w:val="Compact"/>
        <w:numPr>
          <w:ilvl w:val="0"/>
          <w:numId w:val="1013"/>
        </w:numPr>
      </w:pPr>
      <w:r>
        <w:t xml:space="preserve">fiscal, density and settlement-structure variables risked dominating the index even though they are not the same thing as social vulnerability</w:t>
      </w:r>
    </w:p>
    <w:p>
      <w:pPr>
        <w:pStyle w:val="Compact"/>
        <w:numPr>
          <w:ilvl w:val="0"/>
          <w:numId w:val="1013"/>
        </w:numPr>
      </w:pPr>
      <w:r>
        <w:t xml:space="preserve">the resulting composite index was harder to explain in a supervisor meeting, because one global PCA makes the substantive meaning of each retained component less transparent</w:t>
      </w:r>
    </w:p>
    <w:p>
      <w:pPr>
        <w:pStyle w:val="FirstParagraph"/>
      </w:pPr>
      <w:r>
        <w:t xml:space="preserve">In short:</w:t>
      </w:r>
    </w:p>
    <w:p>
      <w:pPr>
        <w:pStyle w:val="BodyText"/>
      </w:pPr>
      <w:r>
        <w:t xml:space="preserve">The first wide PCA was a good exploratory starting point, but it was not the strongest final argument for a thesis chapter that needs clear conceptual justification.</w:t>
      </w:r>
    </w:p>
    <w:bookmarkEnd w:id="18"/>
    <w:bookmarkStart w:id="19" w:name="Xb40b01496a05b5baf5b51ae4f77695edb2ce53e"/>
    <w:p>
      <w:pPr>
        <w:pStyle w:val="Heading2"/>
      </w:pPr>
      <w:r>
        <w:t xml:space="preserve">10. What the redesigned PCA framework does instead</w:t>
      </w:r>
    </w:p>
    <w:p>
      <w:pPr>
        <w:pStyle w:val="FirstParagraph"/>
      </w:pPr>
      <w:r>
        <w:t xml:space="preserve">The redesigned workflow in</w:t>
      </w:r>
      <w:r>
        <w:t xml:space="preserve"> </w:t>
      </w:r>
      <w:r>
        <w:rPr>
          <w:rStyle w:val="VerbatimChar"/>
        </w:rPr>
        <w:t xml:space="preserve">Analyse_PROTOCOL_REDESIGN.R</w:t>
      </w:r>
      <w:r>
        <w:t xml:space="preserve"> </w:t>
      </w:r>
      <w:r>
        <w:t xml:space="preserve">keeps PCA, but in a much more structured way.</w:t>
      </w:r>
    </w:p>
    <w:p>
      <w:pPr>
        <w:pStyle w:val="BodyText"/>
      </w:pPr>
      <w:r>
        <w:t xml:space="preserve">Main changes:</w:t>
      </w:r>
    </w:p>
    <w:p>
      <w:pPr>
        <w:pStyle w:val="Compact"/>
        <w:numPr>
          <w:ilvl w:val="0"/>
          <w:numId w:val="1014"/>
        </w:numPr>
      </w:pPr>
      <w:r>
        <w:t xml:space="preserve">the variable set was reduced to a theory-led core</w:t>
      </w:r>
    </w:p>
    <w:p>
      <w:pPr>
        <w:pStyle w:val="Compact"/>
        <w:numPr>
          <w:ilvl w:val="0"/>
          <w:numId w:val="1014"/>
        </w:numPr>
      </w:pPr>
      <w:r>
        <w:t xml:space="preserve">indicators were grouped into domains before dimensional reduction</w:t>
      </w:r>
    </w:p>
    <w:p>
      <w:pPr>
        <w:pStyle w:val="Compact"/>
        <w:numPr>
          <w:ilvl w:val="0"/>
          <w:numId w:val="1014"/>
        </w:numPr>
      </w:pPr>
      <w:r>
        <w:t xml:space="preserve">PCA is no longer treated as one single global black box</w:t>
      </w:r>
    </w:p>
    <w:p>
      <w:pPr>
        <w:pStyle w:val="Compact"/>
        <w:numPr>
          <w:ilvl w:val="0"/>
          <w:numId w:val="1014"/>
        </w:numPr>
      </w:pPr>
      <w:r>
        <w:t xml:space="preserve">interpretability was prioritised over maximal breadth</w:t>
      </w:r>
    </w:p>
    <w:p>
      <w:pPr>
        <w:pStyle w:val="FirstParagraph"/>
      </w:pPr>
      <w:r>
        <w:t xml:space="preserve">The redesigned core domains are:</w:t>
      </w:r>
    </w:p>
    <w:p>
      <w:pPr>
        <w:pStyle w:val="Compact"/>
        <w:numPr>
          <w:ilvl w:val="0"/>
          <w:numId w:val="1015"/>
        </w:numPr>
      </w:pPr>
      <w:r>
        <w:t xml:space="preserve">deprivation</w:t>
      </w:r>
    </w:p>
    <w:p>
      <w:pPr>
        <w:pStyle w:val="Compact"/>
        <w:numPr>
          <w:ilvl w:val="0"/>
          <w:numId w:val="1015"/>
        </w:numPr>
      </w:pPr>
      <w:r>
        <w:t xml:space="preserve">demographic sensitivity</w:t>
      </w:r>
    </w:p>
    <w:p>
      <w:pPr>
        <w:pStyle w:val="Compact"/>
        <w:numPr>
          <w:ilvl w:val="0"/>
          <w:numId w:val="1015"/>
        </w:numPr>
      </w:pPr>
      <w:r>
        <w:t xml:space="preserve">household / social structure</w:t>
      </w:r>
    </w:p>
    <w:p>
      <w:pPr>
        <w:pStyle w:val="Compact"/>
        <w:numPr>
          <w:ilvl w:val="0"/>
          <w:numId w:val="1015"/>
        </w:numPr>
      </w:pPr>
      <w:r>
        <w:t xml:space="preserve">accessibility / adaptive capacity</w:t>
      </w:r>
    </w:p>
    <w:p>
      <w:pPr>
        <w:pStyle w:val="FirstParagraph"/>
      </w:pPr>
      <w:r>
        <w:t xml:space="preserve">Technical logic of the redesign:</w:t>
      </w:r>
    </w:p>
    <w:p>
      <w:pPr>
        <w:pStyle w:val="Compact"/>
        <w:numPr>
          <w:ilvl w:val="0"/>
          <w:numId w:val="1016"/>
        </w:numPr>
      </w:pPr>
      <w:r>
        <w:t xml:space="preserve">a separate domain PCA is run within each domain</w:t>
      </w:r>
    </w:p>
    <w:p>
      <w:pPr>
        <w:pStyle w:val="Compact"/>
        <w:numPr>
          <w:ilvl w:val="0"/>
          <w:numId w:val="1016"/>
        </w:numPr>
      </w:pPr>
      <w:r>
        <w:t xml:space="preserve">the first component of each domain is used as the domain score</w:t>
      </w:r>
    </w:p>
    <w:p>
      <w:pPr>
        <w:pStyle w:val="Compact"/>
        <w:numPr>
          <w:ilvl w:val="0"/>
          <w:numId w:val="1016"/>
        </w:numPr>
      </w:pPr>
      <w:r>
        <w:t xml:space="preserve">domain scores are oriented so that higher values always mean higher vulnerability</w:t>
      </w:r>
    </w:p>
    <w:p>
      <w:pPr>
        <w:pStyle w:val="Compact"/>
        <w:numPr>
          <w:ilvl w:val="0"/>
          <w:numId w:val="1016"/>
        </w:numPr>
      </w:pPr>
      <w:r>
        <w:t xml:space="preserve">the four domain scores are combined into the main redesigned index</w:t>
      </w:r>
    </w:p>
    <w:p>
      <w:pPr>
        <w:pStyle w:val="Compact"/>
        <w:numPr>
          <w:ilvl w:val="0"/>
          <w:numId w:val="1016"/>
        </w:numPr>
      </w:pPr>
      <w:r>
        <w:t xml:space="preserve">a second</w:t>
      </w:r>
      <w:r>
        <w:t xml:space="preserve"> </w:t>
      </w:r>
      <w:r>
        <w:rPr>
          <w:rStyle w:val="VerbatimChar"/>
        </w:rPr>
        <w:t xml:space="preserve">selected_pca</w:t>
      </w:r>
      <w:r>
        <w:t xml:space="preserve"> </w:t>
      </w:r>
      <w:r>
        <w:t xml:space="preserve">sensitivity index is still calculated on the reduced indicator set, but only as a robustness check</w:t>
      </w:r>
    </w:p>
    <w:bookmarkEnd w:id="19"/>
    <w:bookmarkStart w:id="20" w:name="X60a02e7825c87d58b1af260d4c04245be01de1c"/>
    <w:p>
      <w:pPr>
        <w:pStyle w:val="Heading2"/>
      </w:pPr>
      <w:r>
        <w:t xml:space="preserve">11. What the redesigned PCA says</w:t>
      </w:r>
    </w:p>
    <w:p>
      <w:pPr>
        <w:pStyle w:val="FirstParagraph"/>
      </w:pPr>
      <w:r>
        <w:t xml:space="preserve">The redesigned PCA gives a clearer and more defensible message.</w:t>
      </w:r>
    </w:p>
    <w:p>
      <w:pPr>
        <w:pStyle w:val="BodyText"/>
      </w:pPr>
      <w:r>
        <w:t xml:space="preserve">Domain PCA summary:</w:t>
      </w:r>
    </w:p>
    <w:p>
      <w:pPr>
        <w:pStyle w:val="Compact"/>
        <w:numPr>
          <w:ilvl w:val="0"/>
          <w:numId w:val="1017"/>
        </w:numPr>
      </w:pPr>
      <w:r>
        <w:t xml:space="preserve">deprivation domain: 6 variables, PC1 explains about 38.1% of domain variance</w:t>
      </w:r>
    </w:p>
    <w:p>
      <w:pPr>
        <w:pStyle w:val="Compact"/>
        <w:numPr>
          <w:ilvl w:val="0"/>
          <w:numId w:val="1017"/>
        </w:numPr>
      </w:pPr>
      <w:r>
        <w:t xml:space="preserve">age domain: 3 variables, PC1 explains about 90.5%</w:t>
      </w:r>
    </w:p>
    <w:p>
      <w:pPr>
        <w:pStyle w:val="Compact"/>
        <w:numPr>
          <w:ilvl w:val="0"/>
          <w:numId w:val="1017"/>
        </w:numPr>
      </w:pPr>
      <w:r>
        <w:t xml:space="preserve">household domain: 2 variables, PC1 explains about 50.1%</w:t>
      </w:r>
    </w:p>
    <w:p>
      <w:pPr>
        <w:pStyle w:val="Compact"/>
        <w:numPr>
          <w:ilvl w:val="0"/>
          <w:numId w:val="1017"/>
        </w:numPr>
      </w:pPr>
      <w:r>
        <w:t xml:space="preserve">access domain: 3 variables, PC1 explains about 71.3%</w:t>
      </w:r>
    </w:p>
    <w:p>
      <w:pPr>
        <w:pStyle w:val="FirstParagraph"/>
      </w:pPr>
      <w:r>
        <w:t xml:space="preserve">Validation signals from the redesign:</w:t>
      </w:r>
    </w:p>
    <w:p>
      <w:pPr>
        <w:pStyle w:val="Compact"/>
        <w:numPr>
          <w:ilvl w:val="0"/>
          <w:numId w:val="1018"/>
        </w:numPr>
      </w:pPr>
      <w:r>
        <w:t xml:space="preserve">the redesigned main index correlates with</w:t>
      </w:r>
      <w:r>
        <w:t xml:space="preserve"> </w:t>
      </w:r>
      <w:r>
        <w:rPr>
          <w:rStyle w:val="VerbatimChar"/>
        </w:rPr>
        <w:t xml:space="preserve">ALG II / SGB II</w:t>
      </w:r>
      <w:r>
        <w:t xml:space="preserve"> </w:t>
      </w:r>
      <w:r>
        <w:t xml:space="preserve">at about</w:t>
      </w:r>
      <w:r>
        <w:t xml:space="preserve"> </w:t>
      </w:r>
      <w:r>
        <w:rPr>
          <w:rStyle w:val="VerbatimChar"/>
        </w:rPr>
        <w:t xml:space="preserve">0.54</w:t>
      </w:r>
    </w:p>
    <w:p>
      <w:pPr>
        <w:pStyle w:val="Compact"/>
        <w:numPr>
          <w:ilvl w:val="0"/>
          <w:numId w:val="1018"/>
        </w:numPr>
      </w:pPr>
      <w:r>
        <w:t xml:space="preserve">the redesign sensitivity PCA correlates with</w:t>
      </w:r>
      <w:r>
        <w:t xml:space="preserve"> </w:t>
      </w:r>
      <w:r>
        <w:rPr>
          <w:rStyle w:val="VerbatimChar"/>
        </w:rPr>
        <w:t xml:space="preserve">ALG II / SGB II</w:t>
      </w:r>
      <w:r>
        <w:t xml:space="preserve"> </w:t>
      </w:r>
      <w:r>
        <w:t xml:space="preserve">at about</w:t>
      </w:r>
      <w:r>
        <w:t xml:space="preserve"> </w:t>
      </w:r>
      <w:r>
        <w:rPr>
          <w:rStyle w:val="VerbatimChar"/>
        </w:rPr>
        <w:t xml:space="preserve">0.63</w:t>
      </w:r>
    </w:p>
    <w:p>
      <w:pPr>
        <w:pStyle w:val="Compact"/>
        <w:numPr>
          <w:ilvl w:val="0"/>
          <w:numId w:val="1018"/>
        </w:numPr>
      </w:pPr>
      <w:r>
        <w:t xml:space="preserve">the redesigned main index correlates with long-term unemployment at about</w:t>
      </w:r>
      <w:r>
        <w:t xml:space="preserve"> </w:t>
      </w:r>
      <w:r>
        <w:rPr>
          <w:rStyle w:val="VerbatimChar"/>
        </w:rPr>
        <w:t xml:space="preserve">0.25</w:t>
      </w:r>
    </w:p>
    <w:p>
      <w:pPr>
        <w:pStyle w:val="Compact"/>
        <w:numPr>
          <w:ilvl w:val="0"/>
          <w:numId w:val="1018"/>
        </w:numPr>
      </w:pPr>
      <w:r>
        <w:t xml:space="preserve">this means the redesigned index still tracks deprivation signals clearly, but does so in a more interpretable way than the first global PCA</w:t>
      </w:r>
    </w:p>
    <w:p>
      <w:pPr>
        <w:pStyle w:val="FirstParagraph"/>
      </w:pPr>
      <w:r>
        <w:t xml:space="preserve">Main substantive message for the meeting:</w:t>
      </w:r>
    </w:p>
    <w:p>
      <w:pPr>
        <w:pStyle w:val="Compact"/>
        <w:numPr>
          <w:ilvl w:val="0"/>
          <w:numId w:val="1019"/>
        </w:numPr>
      </w:pPr>
      <w:r>
        <w:t xml:space="preserve">the redesign does not reject PCA</w:t>
      </w:r>
    </w:p>
    <w:p>
      <w:pPr>
        <w:pStyle w:val="Compact"/>
        <w:numPr>
          <w:ilvl w:val="0"/>
          <w:numId w:val="1019"/>
        </w:numPr>
      </w:pPr>
      <w:r>
        <w:t xml:space="preserve">it uses PCA more selectively and more transparently</w:t>
      </w:r>
    </w:p>
    <w:p>
      <w:pPr>
        <w:pStyle w:val="Compact"/>
        <w:numPr>
          <w:ilvl w:val="0"/>
          <w:numId w:val="1019"/>
        </w:numPr>
      </w:pPr>
      <w:r>
        <w:t xml:space="preserve">the result is a vulnerability measure that is easier to defend conceptually, because it is less driven by indiscriminate breadth and more clearly tied to vulnerability dimensions</w:t>
      </w:r>
    </w:p>
    <w:bookmarkEnd w:id="20"/>
    <w:bookmarkStart w:id="21" w:name="Xf7d45e2d955730bddcff81d2d15f3beb0e147a0"/>
    <w:p>
      <w:pPr>
        <w:pStyle w:val="Heading2"/>
      </w:pPr>
      <w:r>
        <w:t xml:space="preserve">12. Critical caveat that should be stated explicitly</w:t>
      </w:r>
    </w:p>
    <w:p>
      <w:pPr>
        <w:pStyle w:val="FirstParagraph"/>
      </w:pPr>
      <w:r>
        <w:t xml:space="preserve">One project rename should be treated with caution:</w:t>
      </w:r>
    </w:p>
    <w:p>
      <w:pPr>
        <w:pStyle w:val="Compact"/>
        <w:numPr>
          <w:ilvl w:val="0"/>
          <w:numId w:val="1020"/>
        </w:numPr>
      </w:pPr>
      <w:r>
        <w:t xml:space="preserve">raw INKAR code:</w:t>
      </w:r>
      <w:r>
        <w:t xml:space="preserve"> </w:t>
      </w:r>
      <w:r>
        <w:rPr>
          <w:rStyle w:val="VerbatimChar"/>
        </w:rPr>
        <w:t xml:space="preserve">a_BG1P</w:t>
      </w:r>
    </w:p>
    <w:p>
      <w:pPr>
        <w:pStyle w:val="Compact"/>
        <w:numPr>
          <w:ilvl w:val="0"/>
          <w:numId w:val="1020"/>
        </w:numPr>
      </w:pPr>
      <w:r>
        <w:t xml:space="preserve">official INKAR name:</w:t>
      </w:r>
      <w:r>
        <w:t xml:space="preserve"> </w:t>
      </w:r>
      <w:r>
        <w:rPr>
          <w:rStyle w:val="VerbatimChar"/>
        </w:rPr>
        <w:t xml:space="preserve">Einpersonen-Bedarfsgemeinschaften</w:t>
      </w:r>
    </w:p>
    <w:p>
      <w:pPr>
        <w:pStyle w:val="Compact"/>
        <w:numPr>
          <w:ilvl w:val="0"/>
          <w:numId w:val="1020"/>
        </w:numPr>
      </w:pPr>
      <w:r>
        <w:t xml:space="preserve">current project name:</w:t>
      </w:r>
      <w:r>
        <w:t xml:space="preserve"> </w:t>
      </w:r>
      <w:r>
        <w:rPr>
          <w:rStyle w:val="VerbatimChar"/>
        </w:rPr>
        <w:t xml:space="preserve">share_bg_single_parent</w:t>
      </w:r>
    </w:p>
    <w:p>
      <w:pPr>
        <w:pStyle w:val="FirstParagraph"/>
      </w:pPr>
      <w:r>
        <w:t xml:space="preserve">These are not the same thing.</w:t>
      </w:r>
    </w:p>
    <w:p>
      <w:pPr>
        <w:pStyle w:val="BodyText"/>
      </w:pPr>
      <w:r>
        <w:t xml:space="preserve">For the meeting, this variable should therefore not simply be presented as</w:t>
      </w:r>
      <w:r>
        <w:t xml:space="preserve"> </w:t>
      </w:r>
      <w:r>
        <w:rPr>
          <w:rStyle w:val="VerbatimChar"/>
        </w:rPr>
        <w:t xml:space="preserve">single-parent households</w:t>
      </w:r>
      <w:r>
        <w:t xml:space="preserve">.</w:t>
      </w:r>
    </w:p>
    <w:p>
      <w:pPr>
        <w:pStyle w:val="BodyText"/>
      </w:pPr>
      <w:r>
        <w:t xml:space="preserve">If it comes up in discussion, the safe formulation is:</w:t>
      </w:r>
    </w:p>
    <w:p>
      <w:pPr>
        <w:pStyle w:val="Compact"/>
        <w:numPr>
          <w:ilvl w:val="0"/>
          <w:numId w:val="1021"/>
        </w:numPr>
      </w:pPr>
      <w:r>
        <w:t xml:space="preserve">the original INKAR indicator is</w:t>
      </w:r>
      <w:r>
        <w:t xml:space="preserve"> </w:t>
      </w:r>
      <w:r>
        <w:rPr>
          <w:rStyle w:val="VerbatimChar"/>
        </w:rPr>
        <w:t xml:space="preserve">a_BG1P = Einpersonen-Bedarfsgemeinschaften</w:t>
      </w:r>
    </w:p>
    <w:p>
      <w:pPr>
        <w:pStyle w:val="Compact"/>
        <w:numPr>
          <w:ilvl w:val="0"/>
          <w:numId w:val="1021"/>
        </w:numPr>
      </w:pPr>
      <w:r>
        <w:t xml:space="preserve">the current internal rename is likely misleading and should be corrected in the next clean-up step</w:t>
      </w:r>
    </w:p>
    <w:p>
      <w:pPr>
        <w:pStyle w:val="Compact"/>
        <w:numPr>
          <w:ilvl w:val="0"/>
          <w:numId w:val="1021"/>
        </w:numPr>
      </w:pPr>
      <w:r>
        <w:t xml:space="preserve">if a true single-parent indicator is needed, a different INKAR variable should be checked instead</w:t>
      </w:r>
    </w:p>
    <w:bookmarkEnd w:id="21"/>
    <w:bookmarkStart w:id="22" w:name="Xf97d4d35263afe0b327661d66f6dc456fc48574"/>
    <w:p>
      <w:pPr>
        <w:pStyle w:val="Heading2"/>
      </w:pPr>
      <w:r>
        <w:t xml:space="preserve">13. What to emphasise in the meeting</w:t>
      </w:r>
    </w:p>
    <w:p>
      <w:pPr>
        <w:pStyle w:val="FirstParagraph"/>
      </w:pPr>
      <w:r>
        <w:t xml:space="preserve">A concise meeting line could be:</w:t>
      </w:r>
    </w:p>
    <w:p>
      <w:pPr>
        <w:pStyle w:val="BodyText"/>
      </w:pPr>
      <w:r>
        <w:t xml:space="preserve">"The socio-economic part of the thesis is based on the nationwide INKAR 2025 municipality dataset. The first version used a broad exploratory wide PCA to understand the overall structure of the indicator space. The redesigned version keeps PCA, but reduces the indicator set and applies PCA within theory-led domains, which makes the final vulnerability measure more interpretable and easier to defend. On the socio-economic side, the framework is in principle transferable across Germany; the stronger limitation lies in the hazard and protection data, not in the INKAR variables themselves."</w:t>
      </w:r>
    </w:p>
    <w:bookmarkEnd w:id="22"/>
    <w:bookmarkStart w:id="23" w:name="X6c177848c17697ca1da9c2c6a68642fb0b86f71"/>
    <w:p>
      <w:pPr>
        <w:pStyle w:val="Heading2"/>
      </w:pPr>
      <w:r>
        <w:t xml:space="preserve">14. Is anything still missing?</w:t>
      </w:r>
    </w:p>
    <w:p>
      <w:pPr>
        <w:pStyle w:val="FirstParagraph"/>
      </w:pPr>
      <w:r>
        <w:t xml:space="preserve">Substantively, only three things would still matter before circulation as a PDF:</w:t>
      </w:r>
    </w:p>
    <w:p>
      <w:pPr>
        <w:pStyle w:val="Compact"/>
        <w:numPr>
          <w:ilvl w:val="0"/>
          <w:numId w:val="1022"/>
        </w:numPr>
      </w:pPr>
      <w:r>
        <w:t xml:space="preserve">make sure the</w:t>
      </w:r>
      <w:r>
        <w:t xml:space="preserve"> </w:t>
      </w:r>
      <w:r>
        <w:rPr>
          <w:rStyle w:val="VerbatimChar"/>
        </w:rPr>
        <w:t xml:space="preserve">a_BG1P</w:t>
      </w:r>
      <w:r>
        <w:t xml:space="preserve"> </w:t>
      </w:r>
      <w:r>
        <w:t xml:space="preserve">naming caveat is left visible and not silently glossed over</w:t>
      </w:r>
    </w:p>
    <w:p>
      <w:pPr>
        <w:pStyle w:val="Compact"/>
        <w:numPr>
          <w:ilvl w:val="0"/>
          <w:numId w:val="1022"/>
        </w:numPr>
      </w:pPr>
      <w:r>
        <w:t xml:space="preserve">keep original INKAR codes and official names for all retained and excluded variables</w:t>
      </w:r>
    </w:p>
    <w:p>
      <w:pPr>
        <w:pStyle w:val="Compact"/>
        <w:numPr>
          <w:ilvl w:val="0"/>
          <w:numId w:val="1022"/>
        </w:numPr>
      </w:pPr>
      <w:r>
        <w:t xml:space="preserve">keep the old-versus-new PCA comparison short and strategic rather than overly technical</w:t>
      </w:r>
    </w:p>
    <w:p>
      <w:pPr>
        <w:pStyle w:val="FirstParagraph"/>
      </w:pPr>
      <w:r>
        <w:t xml:space="preserve">If those points are covered, the document is already a solid briefing paper for the professors and a good basis for the next PowerPoint step.</w:t>
      </w:r>
    </w:p>
    <w:bookmarkEnd w:id="23"/>
    <w:bookmarkEnd w:id="24"/>
    <w:sectPr w:rsidR="00D30707" w:rsidRPr="0036215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3766BC6"/>
    <w:multiLevelType w:val="hybridMultilevel"/>
    <w:tmpl w:val="C4F4757C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EC42D81"/>
    <w:multiLevelType w:val="hybridMultilevel"/>
    <w:tmpl w:val="E7067F98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1109346A"/>
    <w:multiLevelType w:val="hybridMultilevel"/>
    <w:tmpl w:val="F3B404C8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13C342C8"/>
    <w:multiLevelType w:val="hybridMultilevel"/>
    <w:tmpl w:val="54ACC27E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19FD2C32"/>
    <w:multiLevelType w:val="hybridMultilevel"/>
    <w:tmpl w:val="56C2CD1C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28E22043"/>
    <w:multiLevelType w:val="hybridMultilevel"/>
    <w:tmpl w:val="D49A9134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2CC377E2"/>
    <w:multiLevelType w:val="hybridMultilevel"/>
    <w:tmpl w:val="C2A0FDEA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31BE046C"/>
    <w:multiLevelType w:val="hybridMultilevel"/>
    <w:tmpl w:val="BDCCF69A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7">
    <w:nsid w:val="35900CB3"/>
    <w:multiLevelType w:val="hybridMultilevel"/>
    <w:tmpl w:val="A47EEF04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3A5F0792"/>
    <w:multiLevelType w:val="hybridMultilevel"/>
    <w:tmpl w:val="579A3102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3A632085"/>
    <w:multiLevelType w:val="hybridMultilevel"/>
    <w:tmpl w:val="91BAF2DA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3DCF69F1"/>
    <w:multiLevelType w:val="hybridMultilevel"/>
    <w:tmpl w:val="0F3E0FD2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445F371A"/>
    <w:multiLevelType w:val="hybridMultilevel"/>
    <w:tmpl w:val="59045EC2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4AC937B9"/>
    <w:multiLevelType w:val="hybridMultilevel"/>
    <w:tmpl w:val="CABE6B0A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4B7D381B"/>
    <w:multiLevelType w:val="hybridMultilevel"/>
    <w:tmpl w:val="53DCA74E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536F0C7C"/>
    <w:multiLevelType w:val="hybridMultilevel"/>
    <w:tmpl w:val="4B1CC004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5AE4241E"/>
    <w:multiLevelType w:val="hybridMultilevel"/>
    <w:tmpl w:val="9182D228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6">
    <w:nsid w:val="5C963D8F"/>
    <w:multiLevelType w:val="hybridMultilevel"/>
    <w:tmpl w:val="AF3E71D8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5D4F6353"/>
    <w:multiLevelType w:val="hybridMultilevel"/>
    <w:tmpl w:val="4C4EB8AE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5F66207E"/>
    <w:multiLevelType w:val="hybridMultilevel"/>
    <w:tmpl w:val="5430153E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61F82338"/>
    <w:multiLevelType w:val="hybridMultilevel"/>
    <w:tmpl w:val="97369496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65A36A8F"/>
    <w:multiLevelType w:val="hybridMultilevel"/>
    <w:tmpl w:val="769A6008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66965CA7"/>
    <w:multiLevelType w:val="hybridMultilevel"/>
    <w:tmpl w:val="54F0CF6C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2">
    <w:nsid w:val="6AE2353A"/>
    <w:multiLevelType w:val="hybridMultilevel"/>
    <w:tmpl w:val="66204BDA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3">
    <w:nsid w:val="72E50286"/>
    <w:multiLevelType w:val="hybridMultilevel"/>
    <w:tmpl w:val="DA14CD7E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4">
    <w:nsid w:val="75522E23"/>
    <w:multiLevelType w:val="hybridMultilevel"/>
    <w:tmpl w:val="4726F60C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787F78F9"/>
    <w:multiLevelType w:val="hybridMultilevel"/>
    <w:tmpl w:val="8DFEF31E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7C13384D"/>
    <w:multiLevelType w:val="hybridMultilevel"/>
    <w:tmpl w:val="356E4338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7">
    <w:nsid w:val="7C495434"/>
    <w:multiLevelType w:val="hybridMultilevel"/>
    <w:tmpl w:val="0B32BA7E"/>
    <w:lvl w:ilvl="0" w:tplc="D7348D66">
      <w:start w:val="1"/>
      <w:numFmt w:val="bullet"/>
      <w:lvlText w:val="–"/>
      <w:lvlJc w:val="left"/>
      <w:pPr>
        <w:ind w:hanging="360" w:left="720"/>
      </w:pPr>
      <w:rPr>
        <w:rFonts w:ascii="Times New Roman" w:cs="Times New Roman" w:hAnsi="Times New Roman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499232313" w:numId="1">
    <w:abstractNumId w:val="8"/>
  </w:num>
  <w:num w16cid:durableId="601452175" w:numId="2">
    <w:abstractNumId w:val="6"/>
  </w:num>
  <w:num w16cid:durableId="1768228711" w:numId="3">
    <w:abstractNumId w:val="5"/>
  </w:num>
  <w:num w16cid:durableId="956062559" w:numId="4">
    <w:abstractNumId w:val="4"/>
  </w:num>
  <w:num w16cid:durableId="2110927181" w:numId="5">
    <w:abstractNumId w:val="7"/>
  </w:num>
  <w:num w16cid:durableId="1677726768" w:numId="6">
    <w:abstractNumId w:val="3"/>
  </w:num>
  <w:num w16cid:durableId="1233614360" w:numId="7">
    <w:abstractNumId w:val="2"/>
  </w:num>
  <w:num w16cid:durableId="316811328" w:numId="8">
    <w:abstractNumId w:val="1"/>
  </w:num>
  <w:num w16cid:durableId="1171530411" w:numId="9">
    <w:abstractNumId w:val="0"/>
  </w:num>
  <w:num w16cid:durableId="1951693549" w:numId="10">
    <w:abstractNumId w:val="14"/>
  </w:num>
  <w:num w16cid:durableId="2106656693" w:numId="11">
    <w:abstractNumId w:val="30"/>
  </w:num>
  <w:num w16cid:durableId="1258253344" w:numId="12">
    <w:abstractNumId w:val="25"/>
  </w:num>
  <w:num w16cid:durableId="979072606" w:numId="13">
    <w:abstractNumId w:val="17"/>
  </w:num>
  <w:num w16cid:durableId="1990203943" w:numId="14">
    <w:abstractNumId w:val="10"/>
  </w:num>
  <w:num w16cid:durableId="1597328157" w:numId="15">
    <w:abstractNumId w:val="24"/>
  </w:num>
  <w:num w16cid:durableId="2118986730" w:numId="16">
    <w:abstractNumId w:val="27"/>
  </w:num>
  <w:num w16cid:durableId="1423065106" w:numId="17">
    <w:abstractNumId w:val="19"/>
  </w:num>
  <w:num w16cid:durableId="1901942353" w:numId="18">
    <w:abstractNumId w:val="16"/>
  </w:num>
  <w:num w16cid:durableId="417333369" w:numId="19">
    <w:abstractNumId w:val="21"/>
  </w:num>
  <w:num w16cid:durableId="1543054920" w:numId="20">
    <w:abstractNumId w:val="28"/>
  </w:num>
  <w:num w16cid:durableId="683286145" w:numId="21">
    <w:abstractNumId w:val="33"/>
  </w:num>
  <w:num w16cid:durableId="855459726" w:numId="22">
    <w:abstractNumId w:val="23"/>
  </w:num>
  <w:num w16cid:durableId="477498060" w:numId="23">
    <w:abstractNumId w:val="31"/>
  </w:num>
  <w:num w16cid:durableId="1214925067" w:numId="24">
    <w:abstractNumId w:val="32"/>
  </w:num>
  <w:num w16cid:durableId="721178559" w:numId="25">
    <w:abstractNumId w:val="11"/>
  </w:num>
  <w:num w16cid:durableId="257059416" w:numId="26">
    <w:abstractNumId w:val="34"/>
  </w:num>
  <w:num w16cid:durableId="1234967825" w:numId="27">
    <w:abstractNumId w:val="22"/>
  </w:num>
  <w:num w16cid:durableId="1777092140" w:numId="28">
    <w:abstractNumId w:val="18"/>
  </w:num>
  <w:num w16cid:durableId="1076781929" w:numId="29">
    <w:abstractNumId w:val="9"/>
  </w:num>
  <w:num w16cid:durableId="1549533297" w:numId="30">
    <w:abstractNumId w:val="12"/>
  </w:num>
  <w:num w16cid:durableId="35938389" w:numId="31">
    <w:abstractNumId w:val="29"/>
  </w:num>
  <w:num w16cid:durableId="269121287" w:numId="32">
    <w:abstractNumId w:val="13"/>
  </w:num>
  <w:num w16cid:durableId="1756241837" w:numId="33">
    <w:abstractNumId w:val="26"/>
  </w:num>
  <w:num w16cid:durableId="1463770756" w:numId="34">
    <w:abstractNumId w:val="15"/>
  </w:num>
  <w:num w16cid:durableId="1075784037" w:numId="35">
    <w:abstractNumId w:val="20"/>
  </w:num>
  <w:num w16cid:durableId="1019549656" w:numId="36">
    <w:abstractNumId w:val="36"/>
  </w:num>
  <w:num w16cid:durableId="1004431643" w:numId="37">
    <w:abstractNumId w:val="37"/>
  </w:num>
  <w:num w16cid:durableId="560017780" w:numId="38">
    <w:abstractNumId w:val="3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2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F18"/>
    <w:rsid w:val="00141F30"/>
    <w:rsid w:val="0015074B"/>
    <w:rsid w:val="002259F1"/>
    <w:rsid w:val="0029639D"/>
    <w:rsid w:val="00326F90"/>
    <w:rsid w:val="00362153"/>
    <w:rsid w:val="004B068D"/>
    <w:rsid w:val="005E627B"/>
    <w:rsid w:val="007109F4"/>
    <w:rsid w:val="00736E98"/>
    <w:rsid w:val="00825A06"/>
    <w:rsid w:val="00A816CF"/>
    <w:rsid w:val="00AA1D8D"/>
    <w:rsid w:val="00B47730"/>
    <w:rsid w:val="00C5016D"/>
    <w:rsid w:val="00CB0664"/>
    <w:rsid w:val="00D30707"/>
    <w:rsid w:val="00D44509"/>
    <w:rsid w:val="00F60271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u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Shading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urfulList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urfulList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urfulList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urfulList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urfulList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urfulList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u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urfulGrid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urfulGrid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urfulGrid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Grid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urfulGrid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urfulGrid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23</Pages>
  <Words>3536</Words>
  <Characters>20157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2026-03-11T13:45:15Z</dcterms:created>
  <dcterms:modified xsi:type="dcterms:W3CDTF">2026-03-11T13:45:15Z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