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pPr>
      <w:r>
        <w:t xml:space="preserve">AGV工况感知与LPV-MPC闭环控制仿真软件 V1.0 软件设计说明书</w:t>
      </w:r>
    </w:p>
    <w:p>
      <w:pPr>
        <w:pStyle w:val="Normal"/>
      </w:pPr>
      <w:r>
        <w:t xml:space="preserve">软件全称：AGV工况感知与LPV-MPC闭环控制仿真软件</w:t>
      </w:r>
    </w:p>
    <w:p>
      <w:pPr>
        <w:pStyle w:val="Normal"/>
      </w:pPr>
      <w:r>
        <w:t xml:space="preserve">软件简称：AGV-MTCN-MPC仿真软件</w:t>
      </w:r>
    </w:p>
    <w:p>
      <w:pPr>
        <w:pStyle w:val="Normal"/>
      </w:pPr>
      <w:r>
        <w:t xml:space="preserve">版本号：V1.0</w:t>
      </w:r>
    </w:p>
    <w:p>
      <w:pPr>
        <w:pStyle w:val="Normal"/>
      </w:pPr>
      <w:r>
        <w:t xml:space="preserve">生成日期：2026-05-25</w:t>
      </w:r>
    </w:p>
    <w:p>
      <w:pPr>
        <w:pStyle w:val="Normal"/>
      </w:pPr>
      <w:r>
        <w:t xml:space="preserve">编制说明：本文档根据当前仓库源码、数据契约、项目流程清单和默认部署配置生成，用于软件著作权登记辅助材料。申请人应在提交前确认软件名称、著作权人、开发完成日期、首次发表日期和权属证明。</w:t>
      </w:r>
    </w:p>
    <w:p>
      <w:r>
        <w:br w:type="page"/>
      </w:r>
    </w:p>
    <w:p>
      <w:pPr>
        <w:pStyle w:val="Heading1"/>
        <w:keepNext/>
      </w:pPr>
      <w:r>
        <w:t xml:space="preserve">修订记录</w:t>
      </w:r>
    </w:p>
    <w:tbl>
      <w:tblPr>
        <w:tblW w:w="9020" w:type="dxa"/>
        <w:tblBorders>
          <w:top w:val="single" w:sz="4" w:space="0" w:color="9E9E9E"/>
          <w:left w:val="single" w:sz="4" w:space="0" w:color="9E9E9E"/>
          <w:bottom w:val="single" w:sz="4" w:space="0" w:color="9E9E9E"/>
          <w:right w:val="single" w:sz="4" w:space="0" w:color="9E9E9E"/>
          <w:insideH w:val="single" w:sz="4" w:space="0" w:color="C8C8C8"/>
          <w:insideV w:val="single" w:sz="4" w:space="0" w:color="C8C8C8"/>
        </w:tblBorders>
        <w:tblCellMar>
          <w:top w:w="90" w:type="dxa"/>
          <w:left w:w="90" w:type="dxa"/>
          <w:bottom w:w="90" w:type="dxa"/>
          <w:right w:w="90" w:type="dxa"/>
        </w:tblCellMar>
      </w:tblPr>
      <w:tblGrid>
        <w:gridCol w:w="2255"/>
        <w:gridCol w:w="2255"/>
        <w:gridCol w:w="2255"/>
        <w:gridCol w:w="2255"/>
      </w:tblGrid>
      <w:tr>
        <w:trPr>
          <w:tblHeader/>
        </w:trPr>
        <w:tc>
          <w:tcPr>
            <w:tcW w:w="2255" w:type="dxa"/>
            <w:shd w:fill="EAF2F8"/>
            <w:vAlign w:val="center"/>
          </w:tcPr>
          <w:p>
            <w:pPr>
              <w:pStyle w:val="TableText"/>
            </w:pPr>
            <w:r>
              <w:t xml:space="preserve">版本</w:t>
            </w:r>
          </w:p>
        </w:tc>
        <w:tc>
          <w:tcPr>
            <w:tcW w:w="2255" w:type="dxa"/>
            <w:shd w:fill="EAF2F8"/>
            <w:vAlign w:val="center"/>
          </w:tcPr>
          <w:p>
            <w:pPr>
              <w:pStyle w:val="TableText"/>
            </w:pPr>
            <w:r>
              <w:t xml:space="preserve">日期</w:t>
            </w:r>
          </w:p>
        </w:tc>
        <w:tc>
          <w:tcPr>
            <w:tcW w:w="2255" w:type="dxa"/>
            <w:shd w:fill="EAF2F8"/>
            <w:vAlign w:val="center"/>
          </w:tcPr>
          <w:p>
            <w:pPr>
              <w:pStyle w:val="TableText"/>
            </w:pPr>
            <w:r>
              <w:t xml:space="preserve">内容</w:t>
            </w:r>
          </w:p>
        </w:tc>
        <w:tc>
          <w:tcPr>
            <w:tcW w:w="2255" w:type="dxa"/>
            <w:shd w:fill="EAF2F8"/>
            <w:vAlign w:val="center"/>
          </w:tcPr>
          <w:p>
            <w:pPr>
              <w:pStyle w:val="TableText"/>
            </w:pPr>
            <w:r>
              <w:t xml:space="preserve">责任人</w:t>
            </w:r>
          </w:p>
        </w:tc>
      </w:tr>
      <w:tr>
        <w:tc>
          <w:tcPr>
            <w:tcW w:w="2255" w:type="dxa"/>
            <w:vAlign w:val="center"/>
          </w:tcPr>
          <w:p>
            <w:pPr>
              <w:pStyle w:val="TableText"/>
            </w:pPr>
            <w:r>
              <w:t xml:space="preserve">V1.0</w:t>
            </w:r>
          </w:p>
        </w:tc>
        <w:tc>
          <w:tcPr>
            <w:tcW w:w="2255" w:type="dxa"/>
            <w:vAlign w:val="center"/>
          </w:tcPr>
          <w:p>
            <w:pPr>
              <w:pStyle w:val="TableText"/>
            </w:pPr>
            <w:r>
              <w:t xml:space="preserve">2026-05-25</w:t>
            </w:r>
          </w:p>
        </w:tc>
        <w:tc>
          <w:tcPr>
            <w:tcW w:w="2255" w:type="dxa"/>
            <w:vAlign w:val="center"/>
          </w:tcPr>
          <w:p>
            <w:pPr>
              <w:pStyle w:val="TableText"/>
            </w:pPr>
            <w:r>
              <w:t xml:space="preserve">根据当前项目生成软著申请辅助设计说明书</w:t>
            </w:r>
          </w:p>
        </w:tc>
        <w:tc>
          <w:tcPr>
            <w:tcW w:w="2255" w:type="dxa"/>
            <w:vAlign w:val="center"/>
          </w:tcPr>
          <w:p>
            <w:pPr>
              <w:pStyle w:val="TableText"/>
            </w:pPr>
            <w:r>
              <w:t xml:space="preserve">[申请人填写]</w:t>
            </w:r>
          </w:p>
        </w:tc>
      </w:tr>
    </w:tbl>
    <w:p>
      <w:pPr>
        <w:pStyle w:val="Heading1"/>
        <w:keepNext/>
      </w:pPr>
      <w:r>
        <w:t xml:space="preserve">目录</w:t>
      </w:r>
    </w:p>
    <w:p>
      <w:pPr>
        <w:pStyle w:val="Normal"/>
      </w:pPr>
      <w:r>
        <w:t xml:space="preserve">第1章 软件概述</w:t>
      </w:r>
    </w:p>
    <w:p>
      <w:pPr>
        <w:pStyle w:val="Normal"/>
      </w:pPr>
      <w:r>
        <w:t xml:space="preserve">第2章 运行环境</w:t>
      </w:r>
    </w:p>
    <w:p>
      <w:pPr>
        <w:pStyle w:val="Normal"/>
      </w:pPr>
      <w:r>
        <w:t xml:space="preserve">第3章 总体架构</w:t>
      </w:r>
    </w:p>
    <w:p>
      <w:pPr>
        <w:pStyle w:val="Normal"/>
      </w:pPr>
      <w:r>
        <w:t xml:space="preserve">第4章 数据与路径生成模块</w:t>
      </w:r>
    </w:p>
    <w:p>
      <w:pPr>
        <w:pStyle w:val="Normal"/>
      </w:pPr>
      <w:r>
        <w:t xml:space="preserve">第5章 AGV模型与LPV-MPC控制模块</w:t>
      </w:r>
    </w:p>
    <w:p>
      <w:pPr>
        <w:pStyle w:val="Normal"/>
      </w:pPr>
      <w:r>
        <w:t xml:space="preserve">第6章 ModernTCN工况感知模块</w:t>
      </w:r>
    </w:p>
    <w:p>
      <w:pPr>
        <w:pStyle w:val="Normal"/>
      </w:pPr>
      <w:r>
        <w:t xml:space="preserve">第7章 训练、评估与模型导出</w:t>
      </w:r>
    </w:p>
    <w:p>
      <w:pPr>
        <w:pStyle w:val="Normal"/>
      </w:pPr>
      <w:r>
        <w:t xml:space="preserve">第8章 Simulink闭环仿真模块</w:t>
      </w:r>
    </w:p>
    <w:p>
      <w:pPr>
        <w:pStyle w:val="Normal"/>
      </w:pPr>
      <w:r>
        <w:t xml:space="preserve">第9章 对照算法与基线模块</w:t>
      </w:r>
    </w:p>
    <w:p>
      <w:pPr>
        <w:pStyle w:val="Normal"/>
      </w:pPr>
      <w:r>
        <w:t xml:space="preserve">第10章 实验、报告与验证模块</w:t>
      </w:r>
    </w:p>
    <w:p>
      <w:pPr>
        <w:pStyle w:val="Normal"/>
      </w:pPr>
      <w:r>
        <w:t xml:space="preserve">第11章 用户使用说明</w:t>
      </w:r>
    </w:p>
    <w:p>
      <w:pPr>
        <w:pStyle w:val="Normal"/>
      </w:pPr>
      <w:r>
        <w:t xml:space="preserve">第12章 技术特点</w:t>
      </w:r>
    </w:p>
    <w:p>
      <w:pPr>
        <w:pStyle w:val="Normal"/>
      </w:pPr>
      <w:r>
        <w:t xml:space="preserve">第13章 数据安全与维护</w:t>
      </w:r>
    </w:p>
    <w:p>
      <w:pPr>
        <w:pStyle w:val="Normal"/>
      </w:pPr>
      <w:r>
        <w:t xml:space="preserve">第14章 版本说明</w:t>
      </w:r>
    </w:p>
    <w:p>
      <w:pPr>
        <w:pStyle w:val="Normal"/>
      </w:pPr>
      <w:r>
        <w:t xml:space="preserve">附录A 主要源码文件清单</w:t>
      </w:r>
    </w:p>
    <w:p>
      <w:pPr>
        <w:pStyle w:val="Normal"/>
      </w:pPr>
      <w:r>
        <w:t xml:space="preserve">附录B 主要输入输出文件清单</w:t>
      </w:r>
    </w:p>
    <w:p>
      <w:pPr>
        <w:pStyle w:val="Normal"/>
      </w:pPr>
      <w:r>
        <w:t xml:space="preserve">附录C 关键参数表</w:t>
      </w:r>
    </w:p>
    <w:p>
      <w:pPr>
        <w:pStyle w:val="Normal"/>
      </w:pPr>
      <w:r>
        <w:t xml:space="preserve">附录D 术语表</w:t>
      </w:r>
    </w:p>
    <w:p>
      <w:r>
        <w:br w:type="page"/>
      </w:r>
    </w:p>
    <w:p>
      <w:pPr>
        <w:pStyle w:val="Heading1"/>
        <w:keepNext/>
      </w:pPr>
      <w:r>
        <w:t xml:space="preserve">第1章 软件概述</w:t>
      </w:r>
    </w:p>
    <w:p>
      <w:pPr>
        <w:pStyle w:val="Heading2"/>
        <w:keepNext/>
      </w:pPr>
      <w:r>
        <w:t xml:space="preserve">1.1 软件名称、简称与版本</w:t>
      </w:r>
    </w:p>
    <w:p>
      <w:pPr>
        <w:pStyle w:val="Normal"/>
      </w:pPr>
      <w:r>
        <w:t xml:space="preserve">本软件全称为“AGV工况感知与LPV-MPC闭环控制仿真软件”，简称为“AGV-MTCN-MPC仿真软件”，版本号为“V1.0”。本说明书、源码页眉、申请字段草稿和一致性检查清单均以该名称和版本为统一标识。</w:t>
      </w:r>
    </w:p>
    <w:p>
      <w:pPr>
        <w:pStyle w:val="Normal"/>
      </w:pPr>
      <w:r>
        <w:t xml:space="preserve">软件名称中的“AGV工况感知”对应 ModernTCN 多任务时序模型；“LPV-MPC闭环控制”对应 AGV 车辆模型、LPV 线性化网格、MPC 控制器和在线调度更新；“仿真软件”对应 MATLAB/Simulink 桌面闭环验证平台。</w:t>
      </w:r>
    </w:p>
    <w:p>
      <w:pPr>
        <w:pStyle w:val="Heading2"/>
        <w:keepNext/>
      </w:pPr>
      <w:r>
        <w:t xml:space="preserve">1.2 开发背景</w:t>
      </w:r>
    </w:p>
    <w:p>
      <w:pPr>
        <w:pStyle w:val="Normal"/>
      </w:pPr>
      <w:r>
        <w:t xml:space="preserve">本软件面向对角双转向驱动 AGV 的工况识别、坡度调度和闭环控制仿真需求。AGV 在直行、转向、坡道、低速堵转和扰动条件下的传感量具有时序相关性，单点规则或固定参数控制难以完整描述实际工况变化。</w:t>
      </w:r>
    </w:p>
    <w:p>
      <w:pPr>
        <w:pStyle w:val="Normal"/>
      </w:pPr>
      <w:r>
        <w:t xml:space="preserve">项目通过 MATLAB/Simulink 建立车辆模型和 LPV-MPC 控制平台，通过 Python/PyTorch 训练 ModernTCN 多任务时序感知模型，再通过 ONNX 和 MATLAB 侧加载器接入闭环仿真。该流程支持从离线数据构建到在线控制验证的完整工程链路。</w:t>
      </w:r>
    </w:p>
    <w:p>
      <w:pPr>
        <w:pStyle w:val="Heading2"/>
        <w:keepNext/>
      </w:pPr>
      <w:r>
        <w:t xml:space="preserve">1.3 软件目标</w:t>
      </w:r>
    </w:p>
    <w:p>
      <w:pPr>
        <w:pStyle w:val="Normal"/>
      </w:pPr>
      <w:r>
        <w:t xml:space="preserve">本软件目标是提供一套可复现的 AGV 工况感知与闭环仿真工具链。软件能够生成参考路径和训练路径，构建 128 步、19 维输入窗口，训练 ModernTCN 工况感知模型，导出 ONNX 模型，并在 Simulink 闭环模型中调用预测结果辅助 LPV-MPC 调度。</w:t>
      </w:r>
    </w:p>
    <w:p>
      <w:pPr>
        <w:pStyle w:val="Normal"/>
      </w:pPr>
      <w:r>
        <w:t xml:space="preserve">软件同时提供 GRU、TCN、LPV-MPC theta0、IMU theta 和 true-theta oracle 等对照链路，用于验证 ModernTCN 感知输出对闭环轨迹跟踪、控制平滑性、鲁棒性和实时性的影响。</w:t>
      </w:r>
    </w:p>
    <w:p>
      <w:pPr>
        <w:pStyle w:val="Heading2"/>
        <w:keepNext/>
      </w:pPr>
      <w:r>
        <w:t xml:space="preserve">1.4 适用对象与应用场景</w:t>
      </w:r>
    </w:p>
    <w:p>
      <w:pPr>
        <w:pStyle w:val="Normal"/>
      </w:pPr>
      <w:r>
        <w:t xml:space="preserve">软件适用于 AGV 控制算法研究、工况感知模型验证、LPV-MPC 调度策略仿真、路径跟踪闭环性能比较和多算法公平对照实验。典型用户包括控制算法开发人员、仿真平台维护人员和研究型项目成员。</w:t>
      </w:r>
    </w:p>
    <w:p>
      <w:pPr>
        <w:pStyle w:val="Normal"/>
      </w:pPr>
      <w:r>
        <w:t xml:space="preserve">当前版本主要用于桌面仿真和算法验证，不直接声明为嵌入式控制器固件。ONNXRuntime+MPC 核心链路可用于评估计算余量；MATLAB/Simulink extrinsic 封装主要用于闭环仿真验证和调试。</w:t>
      </w:r>
    </w:p>
    <w:p>
      <w:pPr>
        <w:pStyle w:val="Heading2"/>
        <w:keepNext/>
      </w:pPr>
      <w:r>
        <w:t xml:space="preserve">1.5 软件边界</w:t>
      </w:r>
    </w:p>
    <w:p>
      <w:pPr>
        <w:pStyle w:val="Normal"/>
      </w:pPr>
      <w:r>
        <w:t xml:space="preserve">软件边界包括项目初始化、车辆模型、LPV-MPC、路径生成、数据集构建、ModernTCN训练与部署、MATLAB在线推理、Simulink闭环仿真、对照算法和测试验证。软件不包含第三方深度学习框架源码、MATLAB/Simulink平台源码、训练数据权属证明或申请人身份证明材料。</w:t>
      </w:r>
    </w:p>
    <w:p>
      <w:pPr>
        <w:pStyle w:val="Normal"/>
      </w:pPr>
      <w:r>
        <w:t xml:space="preserve">`.mat`、`.pt`、`.onnx`、`.slx` 等文件作为数据、模型、部署产物或工程模型在说明书中引用，不作为本次源程序文本鉴别材料纳入。</w:t>
      </w:r>
    </w:p>
    <w:p>
      <w:pPr>
        <w:pStyle w:val="Heading1"/>
        <w:keepNext/>
      </w:pPr>
      <w:r>
        <w:t xml:space="preserve">第2章 运行环境</w:t>
      </w:r>
    </w:p>
    <w:p>
      <w:pPr>
        <w:pStyle w:val="Heading2"/>
        <w:keepNext/>
      </w:pPr>
      <w:r>
        <w:t xml:space="preserve">2.1 硬件环境</w:t>
      </w:r>
    </w:p>
    <w:p>
      <w:pPr>
        <w:pStyle w:val="Normal"/>
      </w:pPr>
      <w:r>
        <w:t xml:space="preserve">软件可在普通 PC 工作站上运行，建议使用多核 CPU 和 16GB 及以上内存。若进行 ModernTCN、GRU 或 TCN 训练，可选 NVIDIA GPU 以缩短训练时间；若仅执行已训练模型的闭环仿真和结果分析，CPU 环境也可运行。</w:t>
      </w:r>
    </w:p>
    <w:p>
      <w:pPr>
        <w:pStyle w:val="Normal"/>
      </w:pPr>
      <w:r>
        <w:t xml:space="preserve">实时性测试脚本将 ONNXRuntime 单窗口推理和 MPC 求解时间作为核心链路进行测量，控制采样周期为 `Ts=0.01 s`。测试结果用于评价计算余量，不等同于对所有桌面仿真封装开销的硬实时承诺。</w:t>
      </w:r>
    </w:p>
    <w:p>
      <w:pPr>
        <w:pStyle w:val="Heading2"/>
        <w:keepNext/>
      </w:pPr>
      <w:r>
        <w:t xml:space="preserve">2.2 软件环境</w:t>
      </w:r>
    </w:p>
    <w:p>
      <w:pPr>
        <w:pStyle w:val="Normal"/>
      </w:pPr>
      <w:r>
        <w:t xml:space="preserve">软件环境包括 Windows 10/11 或兼容桌面操作系统、MATLAB/Simulink、Python、PyTorch、ONNXRuntime，以及必要的 MATLAB 工具箱。当前仓库中 MATLAB 代码用于车辆模型、控制器、路径和闭环仿真；Python 代码用于 ModernTCN 训练、ONNX 导出和 ONNXRuntime 一致性测试。</w:t>
      </w:r>
    </w:p>
    <w:p>
      <w:pPr>
        <w:pStyle w:val="Normal"/>
      </w:pPr>
      <w:r>
        <w:t xml:space="preserve">Simulink 主模型包括 `simulink/LPVMPC_AGV_simulink_Modern_TCN.slx`、`simulink/LPVMPC_AGV_simulink_GRU.slx`、`simulink/LPVMPC_AGV_simulink_TCN.slx` 和 `simulink/LPVMPC_AGV_simulink_IMU.slx`。这些模型存在于当前仓库中，作为闭环仿真平台使用。</w:t>
      </w:r>
    </w:p>
    <w:p>
      <w:pPr>
        <w:pStyle w:val="Heading2"/>
        <w:keepNext/>
      </w:pPr>
      <w:r>
        <w:t xml:space="preserve">2.3 开发语言与依赖</w:t>
      </w:r>
    </w:p>
    <w:p>
      <w:pPr>
        <w:pStyle w:val="Normal"/>
      </w:pPr>
      <w:r>
        <w:t xml:space="preserve">软件主体源代码由 MATLAB 和 Python 编写。MATLAB 部分包括 `src/core`、`src/lpv`、`src/mpc`、`src/paths`、`src/ModernTCN` 中的在线推理封装、`src/gru`、`src/TCN` 和 `src/Compare`；Python 部分主要包括 `src/ModernTCN/*.py` 和 `src/Compare/benchmark_modern_tcn_onnx_runtime.py`。</w:t>
      </w:r>
    </w:p>
    <w:p>
      <w:pPr>
        <w:pStyle w:val="Normal"/>
      </w:pPr>
      <w:r>
        <w:t xml:space="preserve">PyTorch、ONNXRuntime、MATLAB/Simulink 作为运行环境或依赖工具，不作为申请人的自有源代码。软件说明书仅描述本仓库围绕 AGV 场景实现的工程流程、数据契约和闭环仿真功能。</w:t>
      </w:r>
    </w:p>
    <w:p>
      <w:pPr>
        <w:pStyle w:val="Heading2"/>
        <w:keepNext/>
      </w:pPr>
      <w:r>
        <w:t xml:space="preserve">2.4 输入输出文件环境</w:t>
      </w:r>
    </w:p>
    <w:p>
      <w:pPr>
        <w:pStyle w:val="Normal"/>
      </w:pPr>
      <w:r>
        <w:t xml:space="preserve">核心输入包括车辆参数、路径 `.mat` 文件、统一数据集、scaler、LPV 网格模型、MPC 控制器和已导出的 ONNX 模型。当前 ModernTCN 主线数据集为 `data/tcn/ModernTCN_dataset_agv_dualsteer_theta10_uniform_conf_h0_v2.mat`，数据契约为 `data/tcn/ModernTCN_dataset_agv_dualsteer_theta10_uniform_conf_h0_v2_contract.json`。</w:t>
      </w:r>
    </w:p>
    <w:p>
      <w:pPr>
        <w:pStyle w:val="Normal"/>
      </w:pPr>
      <w:r>
        <w:t xml:space="preserve">核心输出包括训练指标、ONNX 文件、一致性检查报告、闭环仿真 `logsout`、对比指标 CSV、鲁棒性报告、实时性报告和论文图表。运行结果主要存放在 `results/`，数据和模型主要存放在 `data/`。</w:t>
      </w:r>
    </w:p>
    <w:p>
      <w:pPr>
        <w:pStyle w:val="Heading2"/>
        <w:keepNext/>
      </w:pPr>
      <w:r>
        <w:t xml:space="preserve">2.5 目录结构说明</w:t>
      </w:r>
    </w:p>
    <w:p>
      <w:pPr>
        <w:pStyle w:val="Normal"/>
      </w:pPr>
      <w:r>
        <w:t xml:space="preserve">仓库根目录包含 `init_project.m`、`project_root.m` 和 `results_dir.m` 作为路径管理入口。`src/core` 提供车辆模型和控制基础层，`src/lpv` 和 `src/mpc` 提供 LPV-MPC 控制模块，`src/paths` 提供路径生成模块，`src/ModernTCN` 提供主感知模型，`src/Compare` 提供闭环对比和实时性测试。</w:t>
      </w:r>
    </w:p>
    <w:p>
      <w:pPr>
        <w:pStyle w:val="Normal"/>
      </w:pPr>
      <w:r>
        <w:t xml:space="preserve">`data/` 目录保存训练数据、路径数据和模型缓存；`results/` 目录保存训练与闭环结果；`simulink/` 目录保存闭环模型；`docs/` 与论文相关目录只作为辅助说明和历史材料，不纳入本次源程序鉴别材料。</w:t>
      </w:r>
    </w:p>
    <w:p>
      <w:pPr>
        <w:pStyle w:val="Heading1"/>
        <w:keepNext/>
      </w:pPr>
      <w:r>
        <w:t xml:space="preserve">第3章 总体架构</w:t>
      </w:r>
    </w:p>
    <w:p>
      <w:pPr>
        <w:pStyle w:val="Heading2"/>
        <w:keepNext/>
      </w:pPr>
      <w:r>
        <w:t xml:space="preserve">3.1 系统总体架构</w:t>
      </w:r>
    </w:p>
    <w:p>
      <w:pPr>
        <w:pStyle w:val="Normal"/>
      </w:pPr>
      <w:r>
        <w:t xml:space="preserve">软件采用“离线训练 + 在线闭环仿真”的总体结构。离线阶段生成路径和训练数据，构建统一时序窗口，训练 ModernTCN 多任务模型并导出 ONNX；在线阶段由 MATLAB/Simulink 加载车辆模型、LPV-MPC 控制器和 ModernTCN 预测器，在每个控制周期更新工况、转向和坡度调度量。</w:t>
      </w:r>
    </w:p>
    <w:p>
      <w:pPr>
        <w:pStyle w:val="CodeBlock"/>
      </w:pPr>
      <w:r>
        <w:t xml:space="preserve">路径生成/车辆仿真 -&gt; 训练数据 -&gt; 128x19窗口 -&gt; ModernTCN训练 -&gt; ONNX导出</w:t>
      </w:r>
    </w:p>
    <w:p>
      <w:pPr>
        <w:pStyle w:val="CodeBlock"/>
      </w:pPr>
      <w:r>
        <w:t xml:space="preserve">       |                                                    |</w:t>
      </w:r>
    </w:p>
    <w:p>
      <w:pPr>
        <w:pStyle w:val="CodeBlock"/>
      </w:pPr>
      <w:r>
        <w:t xml:space="preserve">       v                                                    v</w:t>
      </w:r>
    </w:p>
    <w:p>
      <w:pPr>
        <w:pStyle w:val="CodeBlock"/>
      </w:pPr>
      <w:r>
        <w:t xml:space="preserve"> LPV网格/MPC控制器 ---------------------------&gt; MATLAB在线推理 -&gt; Simulink闭环</w:t>
      </w:r>
    </w:p>
    <w:p>
      <w:pPr>
        <w:pStyle w:val="CodeBlock"/>
      </w:pPr>
      <w:r>
        <w:t xml:space="preserve">       |                                                    |</w:t>
      </w:r>
    </w:p>
    <w:p>
      <w:pPr>
        <w:pStyle w:val="CodeBlock"/>
      </w:pPr>
      <w:r>
        <w:t xml:space="preserve">       +---------------------- 对照算法与闭环指标 ----------------------+</w:t>
      </w:r>
    </w:p>
    <w:p>
      <w:pPr>
        <w:pStyle w:val="Heading2"/>
        <w:keepNext/>
      </w:pPr>
      <w:r>
        <w:t xml:space="preserve">3.2 功能模块划分</w:t>
      </w:r>
    </w:p>
    <w:p>
      <w:pPr>
        <w:pStyle w:val="Normal"/>
      </w:pPr>
      <w:r>
        <w:t xml:space="preserve">软件划分为项目初始化、车辆模型、LPV线性化、MPC控制、路径生成、数据集构建、ModernTCN训练、ModernTCN部署、Simulink闭环、对照实验和测试验证模块。各模块通过固定文件路径和数据契约连接，避免不同算法使用不同数据或不同控制平台造成对比偏差。</w:t>
      </w:r>
    </w:p>
    <w:p>
      <w:pPr>
        <w:pStyle w:val="Normal"/>
      </w:pPr>
      <w:r>
        <w:t xml:space="preserve">核心控制模块为 `src/core`、`src/lpv` 和 `src/mpc`；核心感知模块为 `src/ModernTCN`；核心对比验证模块为 `src/Compare`。GRU 和 TCN 位于 `src/gru` 与 `src/TCN`，在说明书中作为对照和验证模块描述。</w:t>
      </w:r>
    </w:p>
    <w:p>
      <w:pPr>
        <w:pStyle w:val="Heading2"/>
        <w:keepNext/>
      </w:pPr>
      <w:r>
        <w:t xml:space="preserve">3.3 数据流与控制流</w:t>
      </w:r>
    </w:p>
    <w:p>
      <w:pPr>
        <w:pStyle w:val="Normal"/>
      </w:pPr>
      <w:r>
        <w:t xml:space="preserve">数据流从路径生成和仿真输出开始，经过训练数据构建、窗口化、归一化和数据划分后进入 ModernTCN 训练。模型输出包括主工况 logits、转向 logits 和坡度回归值，后续通过 ONNX 文件传递到 MATLAB 端。</w:t>
      </w:r>
    </w:p>
    <w:p>
      <w:pPr>
        <w:pStyle w:val="Normal"/>
      </w:pPr>
      <w:r>
        <w:t xml:space="preserve">控制流由 Simulink 闭环模型驱动。每个仿真步中，AGV 模型输出传感和状态量，ModernTCN 在线模块维护历史窗口并完成预测，LPV-MPC 根据调度量更新控制器，控制输入再作用于车辆模型。</w:t>
      </w:r>
    </w:p>
    <w:p>
      <w:pPr>
        <w:pStyle w:val="Heading2"/>
        <w:keepNext/>
      </w:pPr>
      <w:r>
        <w:t xml:space="preserve">3.4 离线训练与在线闭环关系</w:t>
      </w:r>
    </w:p>
    <w:p>
      <w:pPr>
        <w:pStyle w:val="Normal"/>
      </w:pPr>
      <w:r>
        <w:t xml:space="preserve">离线训练使用统一数据集和固定 split，避免窗口泄漏。在线闭环使用同一 scaler 策略，将实时观测量按训练集统计量归一化后送入 ModernTCN。该设计使训练、测试和闭环部署遵循同一数据契约。</w:t>
      </w:r>
    </w:p>
    <w:p>
      <w:pPr>
        <w:pStyle w:val="Normal"/>
      </w:pPr>
      <w:r>
        <w:t xml:space="preserve">训练阶段输出的 checkpoint、ONNX、summary CSV 和一致性报告用于冻结模型。默认部署模型为 seed 21，对应 run_tag `modern_tcn_theta10_uniform_h0_v2_seed21` 和 ONNX 文件 `results/modern_tcn/modern_tcn_theta10_uniform_h0_v2_seed21/modern_tcn_seed21.onnx`。</w:t>
      </w:r>
    </w:p>
    <w:p>
      <w:pPr>
        <w:pStyle w:val="Heading2"/>
        <w:keepNext/>
      </w:pPr>
      <w:r>
        <w:t xml:space="preserve">3.5 Simulink 与 MATLAB/Python 协同方式</w:t>
      </w:r>
    </w:p>
    <w:p>
      <w:pPr>
        <w:pStyle w:val="Normal"/>
      </w:pPr>
      <w:r>
        <w:t xml:space="preserve">Python 负责 ModernTCN 模型定义、训练、指标计算和 ONNX 导出。MATLAB 负责加载 ONNX、组织在线窗口、进行闭环仿真、更新 LPV-MPC 控制器并保存仿真结果。Simulink 模型通过预加载函数和 MATLAB Function 包装连接这些模块。</w:t>
      </w:r>
    </w:p>
    <w:p>
      <w:pPr>
        <w:pStyle w:val="Normal"/>
      </w:pPr>
      <w:r>
        <w:t xml:space="preserve">该协同方式保留了 Python 深度学习训练效率和 MATLAB/Simulink 控制仿真能力。当前 MATLAB/Simulink 调用方式主要用于桌面仿真验证，不作为嵌入式部署实现的直接声明。</w:t>
      </w:r>
    </w:p>
    <w:p>
      <w:pPr>
        <w:pStyle w:val="Heading1"/>
        <w:keepNext/>
      </w:pPr>
      <w:r>
        <w:t xml:space="preserve">第4章 数据与路径生成模块</w:t>
      </w:r>
    </w:p>
    <w:p>
      <w:pPr>
        <w:pStyle w:val="Heading2"/>
        <w:keepNext/>
      </w:pPr>
      <w:r>
        <w:t xml:space="preserve">4.1 参考路径生成</w:t>
      </w:r>
    </w:p>
    <w:p>
      <w:pPr>
        <w:pStyle w:val="Normal"/>
      </w:pPr>
      <w:r>
        <w:t xml:space="preserve">路径生成模块位于 `src/paths`。基础路径接口 `gen_agv_ref_path.m` 提供 ref 结构，`gen_agv_theta10_uniform_paths.m` 生成 theta10 uniform 训练路径，`gen_factory_logistics_showcase_path.m` 生成工厂物流展示路径，`gen_closed_loop_eval_paths.m` 生成多路径闭环评估路径。</w:t>
      </w:r>
    </w:p>
    <w:p>
      <w:pPr>
        <w:pStyle w:val="Normal"/>
      </w:pPr>
      <w:r>
        <w:t xml:space="preserve">路径结构包含时间、位置、航向、速度、曲率、坡度或调度相关元数据。路径生成模块同时保存预览图和报告，便于检查路径长度、转向段、坡道段和评估覆盖范围。</w:t>
      </w:r>
    </w:p>
    <w:p>
      <w:pPr>
        <w:pStyle w:val="Heading2"/>
        <w:keepNext/>
      </w:pPr>
      <w:r>
        <w:t xml:space="preserve">4.2 训练数据生成</w:t>
      </w:r>
    </w:p>
    <w:p>
      <w:pPr>
        <w:pStyle w:val="Normal"/>
      </w:pPr>
      <w:r>
        <w:t xml:space="preserve">训练数据由 AGV 仿真模型和参考路径共同生成。`src/core/agv_model_sfunc_train_data.m`、`state_eq_ref_train_data.m` 和 `output_eq_ref_train_data.m` 用于训练数据仿真链路，输出可观测传感量、车辆状态和标签所需信息。</w:t>
      </w:r>
    </w:p>
    <w:p>
      <w:pPr>
        <w:pStyle w:val="Normal"/>
      </w:pPr>
      <w:r>
        <w:t xml:space="preserve">当前主线 raw train data 为 `data/tcn/ModernTCN_train_data_agv_dualsteer_theta10_uniform_conf_h0_v2.mat`，窗口化后的统一数据集为 `data/tcn/ModernTCN_dataset_agv_dualsteer_theta10_uniform_conf_h0_v2.mat`。该数据集被 ModernTCN、GRU 和 TCN 共同使用。</w:t>
      </w:r>
    </w:p>
    <w:p>
      <w:pPr>
        <w:pStyle w:val="Heading2"/>
        <w:keepNext/>
      </w:pPr>
      <w:r>
        <w:t xml:space="preserve">4.3 数据窗口化</w:t>
      </w:r>
    </w:p>
    <w:p>
      <w:pPr>
        <w:pStyle w:val="Normal"/>
      </w:pPr>
      <w:r>
        <w:t xml:space="preserve">窗口化策略固定为 `seq_len=128`，控制采样周期为 `Ts=0.01 s`，因此单个输入窗口覆盖约 1.28 秒历史观测。窗口化后的输入形状为 `[window, time, feature]`，Python 训练时进入模型前再转换为卷积所需形式。</w:t>
      </w:r>
    </w:p>
    <w:p>
      <w:pPr>
        <w:pStyle w:val="Normal"/>
      </w:pPr>
      <w:r>
        <w:t xml:space="preserve">窗口标签采用 `current_window_end` 策略，即以当前窗口末端对应工况作为主工况、转向方向和坡度调度量标签。数据契约中 `horizon_steps=0`，表示当前默认版本不做未来步预测。</w:t>
      </w:r>
    </w:p>
    <w:p>
      <w:pPr>
        <w:pStyle w:val="Heading2"/>
        <w:keepNext/>
      </w:pPr>
      <w:r>
        <w:t xml:space="preserve">4.4 数据契约</w:t>
      </w:r>
    </w:p>
    <w:p>
      <w:pPr>
        <w:pStyle w:val="Normal"/>
      </w:pPr>
      <w:r>
        <w:t xml:space="preserve">数据契约文件 `data/tcn/ModernTCN_dataset_agv_dualsteer_theta10_uniform_conf_h0_v2_contract.json` 是当前数据链的权威定义。契约记录 `vehicle_type=diagonal_dual_steer_drive_agv`、主动驱动/转向轮为 `LF` 和 `RR`、被动支撑轮为 `RF` 和 `LR`。</w:t>
      </w:r>
    </w:p>
    <w:p>
      <w:pPr>
        <w:pStyle w:val="Normal"/>
      </w:pPr>
      <w:r>
        <w:t xml:space="preserve">契约同时记录 `split_policy=run_level_no_window_leakage` 和 `scaler_policy=fit_train_only_apply_val_test_online`。前者用于降低同一运行片段窗口泄漏风险，后者用于避免验证集、测试集或在线数据参与 scaler 拟合。</w:t>
      </w:r>
    </w:p>
    <w:p>
      <w:pPr>
        <w:pStyle w:val="Heading2"/>
        <w:keepNext/>
      </w:pPr>
      <w:r>
        <w:t xml:space="preserve">4.5 19维输入特征</w:t>
      </w:r>
    </w:p>
    <w:p>
      <w:pPr>
        <w:pStyle w:val="Normal"/>
      </w:pPr>
      <w:r>
        <w:t xml:space="preserve">当前 ModernTCN 输入维度为 `input_dim=19`。19 个输入特征依次为：</w:t>
      </w:r>
    </w:p>
    <w:p>
      <w:pPr>
        <w:pStyle w:val="CodeBlock"/>
      </w:pPr>
      <w:r>
        <w:t xml:space="preserve">accel_x</w:t>
      </w:r>
    </w:p>
    <w:p>
      <w:pPr>
        <w:pStyle w:val="CodeBlock"/>
      </w:pPr>
      <w:r>
        <w:t xml:space="preserve">gyro_z</w:t>
      </w:r>
    </w:p>
    <w:p>
      <w:pPr>
        <w:pStyle w:val="CodeBlock"/>
      </w:pPr>
      <w:r>
        <w:t xml:space="preserve">I_lf</w:t>
      </w:r>
    </w:p>
    <w:p>
      <w:pPr>
        <w:pStyle w:val="CodeBlock"/>
      </w:pPr>
      <w:r>
        <w:t xml:space="preserve">I_rr</w:t>
      </w:r>
    </w:p>
    <w:p>
      <w:pPr>
        <w:pStyle w:val="CodeBlock"/>
      </w:pPr>
      <w:r>
        <w:t xml:space="preserve">omega_wheel_lf</w:t>
      </w:r>
    </w:p>
    <w:p>
      <w:pPr>
        <w:pStyle w:val="CodeBlock"/>
      </w:pPr>
      <w:r>
        <w:t xml:space="preserve">omega_wheel_rr</w:t>
      </w:r>
    </w:p>
    <w:p>
      <w:pPr>
        <w:pStyle w:val="CodeBlock"/>
      </w:pPr>
      <w:r>
        <w:t xml:space="preserve">delta_lf</w:t>
      </w:r>
    </w:p>
    <w:p>
      <w:pPr>
        <w:pStyle w:val="CodeBlock"/>
      </w:pPr>
      <w:r>
        <w:t xml:space="preserve">delta_rr</w:t>
      </w:r>
    </w:p>
    <w:p>
      <w:pPr>
        <w:pStyle w:val="CodeBlock"/>
      </w:pPr>
      <w:r>
        <w:t xml:space="preserve">gyro_y</w:t>
      </w:r>
    </w:p>
    <w:p>
      <w:pPr>
        <w:pStyle w:val="CodeBlock"/>
      </w:pPr>
      <w:r>
        <w:t xml:space="preserve">v_hat</w:t>
      </w:r>
    </w:p>
    <w:p>
      <w:pPr>
        <w:pStyle w:val="CodeBlock"/>
      </w:pPr>
      <w:r>
        <w:t xml:space="preserve">dv_hat_dt</w:t>
      </w:r>
    </w:p>
    <w:p>
      <w:pPr>
        <w:pStyle w:val="CodeBlock"/>
      </w:pPr>
      <w:r>
        <w:t xml:space="preserve">ws_imbalance</w:t>
      </w:r>
    </w:p>
    <w:p>
      <w:pPr>
        <w:pStyle w:val="CodeBlock"/>
      </w:pPr>
      <w:r>
        <w:t xml:space="preserve">I_sum</w:t>
      </w:r>
    </w:p>
    <w:p>
      <w:pPr>
        <w:pStyle w:val="CodeBlock"/>
      </w:pPr>
      <w:r>
        <w:t xml:space="preserve">I_diff_signed</w:t>
      </w:r>
    </w:p>
    <w:p>
      <w:pPr>
        <w:pStyle w:val="CodeBlock"/>
      </w:pPr>
      <w:r>
        <w:t xml:space="preserve">I_diff_abs</w:t>
      </w:r>
    </w:p>
    <w:p>
      <w:pPr>
        <w:pStyle w:val="CodeBlock"/>
      </w:pPr>
      <w:r>
        <w:t xml:space="preserve">accel_x_lp</w:t>
      </w:r>
    </w:p>
    <w:p>
      <w:pPr>
        <w:pStyle w:val="CodeBlock"/>
      </w:pPr>
      <w:r>
        <w:t xml:space="preserve">kappa_proxy</w:t>
      </w:r>
    </w:p>
    <w:p>
      <w:pPr>
        <w:pStyle w:val="CodeBlock"/>
      </w:pPr>
      <w:r>
        <w:t xml:space="preserve">accel_per_current</w:t>
      </w:r>
    </w:p>
    <w:p>
      <w:pPr>
        <w:pStyle w:val="CodeBlock"/>
      </w:pPr>
      <w:r>
        <w:t xml:space="preserve">pitch_angle_est</w:t>
      </w:r>
    </w:p>
    <w:p>
      <w:pPr>
        <w:pStyle w:val="Normal"/>
      </w:pPr>
      <w:r>
        <w:t xml:space="preserve">这些特征覆盖纵向加速度、偏航角速度、左右驱动电流、车轮角速度、转向角、俯仰相关量、速度估计、电流组合量、曲率代理量和坡度估计量，满足工况识别、转向识别和坡度回归的输入需求。</w:t>
      </w:r>
    </w:p>
    <w:p>
      <w:pPr>
        <w:pStyle w:val="Heading2"/>
        <w:keepNext/>
      </w:pPr>
      <w:r>
        <w:t xml:space="preserve">4.6 主工况、转向方向与坡度标签</w:t>
      </w:r>
    </w:p>
    <w:p>
      <w:pPr>
        <w:pStyle w:val="Normal"/>
      </w:pPr>
      <w:r>
        <w:t xml:space="preserve">主工况分类标签为 `flat=1`、`stall=2`、`slope=3`。转向方向分类标签为 `right=-1`、`straight=0`、`left=1`。坡度回归输出为 `theta_hat`，用于闭环中的坡度感知或调度参考。</w:t>
      </w:r>
    </w:p>
    <w:p>
      <w:pPr>
        <w:pStyle w:val="Normal"/>
      </w:pPr>
      <w:r>
        <w:t xml:space="preserve">ModernTCN 输出为三组结果：`logits_main` 是 3 维主工况分类 logits，`logits_turn` 是 3 维转向方向分类 logits，`theta_hat` 是 1 维坡度或调度量回归输出。</w:t>
      </w:r>
    </w:p>
    <w:p>
      <w:pPr>
        <w:pStyle w:val="Heading1"/>
        <w:keepNext/>
      </w:pPr>
      <w:r>
        <w:t xml:space="preserve">第5章 AGV模型与LPV-MPC控制模块</w:t>
      </w:r>
    </w:p>
    <w:p>
      <w:pPr>
        <w:pStyle w:val="Heading2"/>
        <w:keepNext/>
      </w:pPr>
      <w:r>
        <w:t xml:space="preserve">5.1 AGV车辆模型</w:t>
      </w:r>
    </w:p>
    <w:p>
      <w:pPr>
        <w:pStyle w:val="Normal"/>
      </w:pPr>
      <w:r>
        <w:t xml:space="preserve">AGV 模型面向 diagonal dual steer drive AGV。主动驱动和转向轮为 `LF` 与 `RR`，被动支撑轮为 `RF` 与 `LR`。状态向量包含位置、航向、速度、偏航角速度、左右转向角和侧偏相关状态。</w:t>
      </w:r>
    </w:p>
    <w:p>
      <w:pPr>
        <w:pStyle w:val="Normal"/>
      </w:pPr>
      <w:r>
        <w:t xml:space="preserve">`src/core/state_eq.m` 实现非线性车辆状态更新，`src/core/output_eq.m` 实现车辆输出和传感量计算。训练数据链路使用对应的 train_data 版本，以便生成与在线工况感知一致的观测特征。</w:t>
      </w:r>
    </w:p>
    <w:p>
      <w:pPr>
        <w:pStyle w:val="Heading2"/>
        <w:keepNext/>
      </w:pPr>
      <w:r>
        <w:t xml:space="preserve">5.2 状态方程和输出方程</w:t>
      </w:r>
    </w:p>
    <w:p>
      <w:pPr>
        <w:pStyle w:val="Normal"/>
      </w:pPr>
      <w:r>
        <w:t xml:space="preserve">状态方程根据当前状态、控制输入、车辆参数、转向几何、轮胎侧向力、滚动阻力和坡度阻力等计算下一步状态。采样周期由 `parameters.m` 中的 `params.Ts = 0.01` 定义。</w:t>
      </w:r>
    </w:p>
    <w:p>
      <w:pPr>
        <w:pStyle w:val="Normal"/>
      </w:pPr>
      <w:r>
        <w:t xml:space="preserve">输出方程生成基础状态、转向角、电流、轮速、IMU 相关量和用于深度模型输入的原始观测。输出方程中明确 RF/LR 为万向支撑轮或被动支撑轮，侧向和偏航动力主要由 LF/RR 舵驱轮承担。</w:t>
      </w:r>
    </w:p>
    <w:p>
      <w:pPr>
        <w:pStyle w:val="Heading2"/>
        <w:keepNext/>
      </w:pPr>
      <w:r>
        <w:t xml:space="preserve">5.3 参考模型</w:t>
      </w:r>
    </w:p>
    <w:p>
      <w:pPr>
        <w:pStyle w:val="Normal"/>
      </w:pPr>
      <w:r>
        <w:t xml:space="preserve">参考模型由 `state_eq_ref.m`、`output_eq_ref.m` 和训练数据参考版本组成。参考模型根据路径和目标速度生成可跟踪的参考状态与输出，为 LPV-MPC 和训练数据仿真提供一致的参考轨迹。</w:t>
      </w:r>
    </w:p>
    <w:p>
      <w:pPr>
        <w:pStyle w:val="Normal"/>
      </w:pPr>
      <w:r>
        <w:t xml:space="preserve">参考路径和参考模型共同定义直行、转向、坡道和工况切换过程，使数据集覆盖多种闭环验证场景。说明书中引用参考模型时，仅描述其软件功能，不将其写成论文推导。</w:t>
      </w:r>
    </w:p>
    <w:p>
      <w:pPr>
        <w:pStyle w:val="Heading2"/>
        <w:keepNext/>
      </w:pPr>
      <w:r>
        <w:t xml:space="preserve">5.4 LPV线性化</w:t>
      </w:r>
    </w:p>
    <w:p>
      <w:pPr>
        <w:pStyle w:val="Normal"/>
      </w:pPr>
      <w:r>
        <w:t xml:space="preserve">LPV 线性化模块位于 `src/lpv`。`lin_agv_at_point.m` 对 AGV 在指定状态点进行线性化，`lin_agv_grid.m` 生成网格化线性模型数据库。线性化结果供 MPC 控制器创建和在线调度更新使用。</w:t>
      </w:r>
    </w:p>
    <w:p>
      <w:pPr>
        <w:pStyle w:val="Normal"/>
      </w:pPr>
      <w:r>
        <w:t xml:space="preserve">LPV 网格模型的作用是将非线性车辆模型在不同调度点近似为一组线性模型。在线运行时，控制器可根据调度量选择或插值相应模型，提高不同工况下的控制适应性。</w:t>
      </w:r>
    </w:p>
    <w:p>
      <w:pPr>
        <w:pStyle w:val="Heading2"/>
        <w:keepNext/>
      </w:pPr>
      <w:r>
        <w:t xml:space="preserve">5.5 MPC控制器构造</w:t>
      </w:r>
    </w:p>
    <w:p>
      <w:pPr>
        <w:pStyle w:val="Normal"/>
      </w:pPr>
      <w:r>
        <w:t xml:space="preserve">MPC 模块位于 `src/mpc`。`mpc_setup_single_interp.m` 负责构造控制器，`mpc_update_from_rho.m` 根据调度量更新控制模型，`Cost_Function.m` 计算控制代价。控制器与车辆模型、参考路径和调度量共同构成闭环。</w:t>
      </w:r>
    </w:p>
    <w:p>
      <w:pPr>
        <w:pStyle w:val="Normal"/>
      </w:pPr>
      <w:r>
        <w:t xml:space="preserve">控制器目标包括轨迹跟踪、控制输入平滑和约束处理。ModernTCN 输出的坡度或调度量不是单独完成控制，而是作为 LPV-MPC 闭环调度的一部分使用。</w:t>
      </w:r>
    </w:p>
    <w:p>
      <w:pPr>
        <w:pStyle w:val="Heading2"/>
        <w:keepNext/>
      </w:pPr>
      <w:r>
        <w:t xml:space="preserve">5.6 在线调度更新</w:t>
      </w:r>
    </w:p>
    <w:p>
      <w:pPr>
        <w:pStyle w:val="Normal"/>
      </w:pPr>
      <w:r>
        <w:t xml:space="preserve">在线调度更新由 ModernTCN 预测、LPV 模型选择和 MPC 参数更新共同完成。预测器输出 `theta_hat` 后，MATLAB 端根据默认配置中的增益、限幅、变化率限制和 deadzone 等参数进行调理。</w:t>
      </w:r>
    </w:p>
    <w:p>
      <w:pPr>
        <w:pStyle w:val="Normal"/>
      </w:pPr>
      <w:r>
        <w:t xml:space="preserve">`ModernTCN_default_config.m` 中包含 `theta_output_gain`、`theta_abs_limit`、`theta_rate_limit` 和 `theta_mpc_deadzone` 等部署侧调理参数。该设计用于避免单步预测噪声直接造成控制器剧烈变化。</w:t>
      </w:r>
    </w:p>
    <w:p>
      <w:pPr>
        <w:pStyle w:val="Heading2"/>
        <w:keepNext/>
      </w:pPr>
      <w:r>
        <w:t xml:space="preserve">5.7 控制代价与约束处理</w:t>
      </w:r>
    </w:p>
    <w:p>
      <w:pPr>
        <w:pStyle w:val="Normal"/>
      </w:pPr>
      <w:r>
        <w:t xml:space="preserve">控制代价函数用于评价轨迹误差、控制输入、输入变化和约束触碰等因素。闭环对比脚本进一步统计横向误差、航向误差、控制平滑性、坡度误差和综合排序指标。</w:t>
      </w:r>
    </w:p>
    <w:p>
      <w:pPr>
        <w:pStyle w:val="Normal"/>
      </w:pPr>
      <w:r>
        <w:t xml:space="preserve">说明书中可描述闭环结果和实时性结果，但应避免将桌面仿真结果夸大为已经完成嵌入式硬实时部署。当前更准确的表述是：ONNXRuntime+MPC 核心链路满足 10 ms 控制周期的计算余量，MATLAB/Simulink 封装主要用于仿真验证。</w:t>
      </w:r>
    </w:p>
    <w:p>
      <w:pPr>
        <w:pStyle w:val="Heading1"/>
        <w:keepNext/>
      </w:pPr>
      <w:r>
        <w:t xml:space="preserve">第6章 ModernTCN工况感知模块</w:t>
      </w:r>
    </w:p>
    <w:p>
      <w:pPr>
        <w:pStyle w:val="Heading2"/>
        <w:keepNext/>
      </w:pPr>
      <w:r>
        <w:t xml:space="preserve">6.1 模块定位</w:t>
      </w:r>
    </w:p>
    <w:p>
      <w:pPr>
        <w:pStyle w:val="Normal"/>
      </w:pPr>
      <w:r>
        <w:t xml:space="preserve">ModernTCN 是当前软件主感知模块，位于 `src/ModernTCN`。该模块面向 AGV 闭环控制的工况感知需求，将 128 步、19 维可观测特征映射为主工况分类、转向方向分类和坡度调度量回归。</w:t>
      </w:r>
    </w:p>
    <w:p>
      <w:pPr>
        <w:pStyle w:val="Normal"/>
      </w:pPr>
      <w:r>
        <w:t xml:space="preserve">ModernTCN 不直接替代 LPV-MPC 控制器，而是向控制器提供工况和调度辅助信息。该定位使软件能够在同一控制平台上比较不同感知模型对闭环控制效果的影响。</w:t>
      </w:r>
    </w:p>
    <w:p>
      <w:pPr>
        <w:pStyle w:val="Heading2"/>
        <w:keepNext/>
      </w:pPr>
      <w:r>
        <w:t xml:space="preserve">6.2 输入输出定义</w:t>
      </w:r>
    </w:p>
    <w:p>
      <w:pPr>
        <w:pStyle w:val="Normal"/>
      </w:pPr>
      <w:r>
        <w:t xml:space="preserve">输入为 `[batch, time=128, feature=19]` 的归一化窗口。输出为 `logits_main`、`logits_turn` 和 `theta_hat`。ONNX 导出脚本中明确输出名称为 `logits_main`、`logits_turn`、`theta_hat`。</w:t>
      </w:r>
    </w:p>
    <w:p>
      <w:pPr>
        <w:pStyle w:val="Normal"/>
      </w:pPr>
      <w:r>
        <w:t xml:space="preserve">分类 logits 后续可通过 softmax 转换为置信度和类别预测；坡度输出经过部署侧调理后作为 LPV-MPC 调度参考。该输出契约与数据契约中的 `output_contract=logits_main3_logits_turn3_theta1_with_softmax_confidence` 一致。</w:t>
      </w:r>
    </w:p>
    <w:p>
      <w:pPr>
        <w:pStyle w:val="Heading2"/>
        <w:keepNext/>
      </w:pPr>
      <w:r>
        <w:t xml:space="preserve">6.3 ModernTCN-small网络结构</w:t>
      </w:r>
    </w:p>
    <w:p>
      <w:pPr>
        <w:pStyle w:val="Normal"/>
      </w:pPr>
      <w:r>
        <w:t xml:space="preserve">当前默认 ModernTCN 部署模型使用 seed 21，配置包括 `channels=64`、`blocks=5`、`kernel_size=31`、`temporal_padding=same`、`dropout=0.15`、`expansion=2`。模型定义位于 `modern_tcn_model.py`。</w:t>
      </w:r>
    </w:p>
    <w:p>
      <w:pPr>
        <w:pStyle w:val="Normal"/>
      </w:pPr>
      <w:r>
        <w:t xml:space="preserve">模型首先使用 1x1 卷积将 19 维输入映射到通道空间，然后堆叠大核 depthwise temporal convolution 残差块，再通过时序池化和窗口统计特征融合形成任务头输入。</w:t>
      </w:r>
    </w:p>
    <w:p>
      <w:pPr>
        <w:pStyle w:val="Heading2"/>
        <w:keepNext/>
      </w:pPr>
      <w:r>
        <w:t xml:space="preserve">6.4 大核深度卷积残差块</w:t>
      </w:r>
    </w:p>
    <w:p>
      <w:pPr>
        <w:pStyle w:val="Normal"/>
      </w:pPr>
      <w:r>
        <w:t xml:space="preserve">ModernTCN 残差块使用 depthwise temporal convolution 捕获长时间窗口内的局部和中程时序模式，再通过 pointwise channel mixing 实现通道间信息融合。残差连接和 layer scale 用于稳定训练和导出。</w:t>
      </w:r>
    </w:p>
    <w:p>
      <w:pPr>
        <w:pStyle w:val="Normal"/>
      </w:pPr>
      <w:r>
        <w:t xml:space="preserve">当前默认模型使用 `same` padding，保证输出时间长度与输入窗口一致。项目中另有 causal ModernTCN 消融实验，但不替代默认 seed 21 部署模型。</w:t>
      </w:r>
    </w:p>
    <w:p>
      <w:pPr>
        <w:pStyle w:val="Heading2"/>
        <w:keepNext/>
      </w:pPr>
      <w:r>
        <w:t xml:space="preserve">6.5 多任务输出头</w:t>
      </w:r>
    </w:p>
    <w:p>
      <w:pPr>
        <w:pStyle w:val="Normal"/>
      </w:pPr>
      <w:r>
        <w:t xml:space="preserve">多任务输出头包括主工况分类头、转向方向分类头和坡度回归头。主工况分类头输出 3 维 logits，对应 flat、stall、slope；转向分类头输出 3 维 logits，对应 right、straight、left；坡度头输出 1 维 `theta_hat`。</w:t>
      </w:r>
    </w:p>
    <w:p>
      <w:pPr>
        <w:pStyle w:val="Normal"/>
      </w:pPr>
      <w:r>
        <w:t xml:space="preserve">多任务结构使软件能同时提供离散工况状态和连续调度量。闭环控制使用这些输出时，会结合限幅、变化率限制和 deadzone 处理，避免将模型预测直接无限制地作用到控制器。</w:t>
      </w:r>
    </w:p>
    <w:p>
      <w:pPr>
        <w:pStyle w:val="Heading2"/>
        <w:keepNext/>
      </w:pPr>
      <w:r>
        <w:t xml:space="preserve">6.6 窗口统计特征融合</w:t>
      </w:r>
    </w:p>
    <w:p>
      <w:pPr>
        <w:pStyle w:val="Normal"/>
      </w:pPr>
      <w:r>
        <w:t xml:space="preserve">模型在时序卷积特征之外融合窗口统计量，包括末端值、均值、最大值、最小值或其它输入统计特征。该设计用于增强模型对窗口整体趋势和末端状态的表达能力。</w:t>
      </w:r>
    </w:p>
    <w:p>
      <w:pPr>
        <w:pStyle w:val="Normal"/>
      </w:pPr>
      <w:r>
        <w:t xml:space="preserve">转向任务还使用特定特征索引相关统计量，例如偏航角速度、轮速、转向角、速度变化和曲率代理量，以提高转向方向及过渡窗口识别能力。</w:t>
      </w:r>
    </w:p>
    <w:p>
      <w:pPr>
        <w:pStyle w:val="Heading2"/>
        <w:keepNext/>
      </w:pPr>
      <w:r>
        <w:t xml:space="preserve">6.7 坡度输出调理与调度约束</w:t>
      </w:r>
    </w:p>
    <w:p>
      <w:pPr>
        <w:pStyle w:val="Normal"/>
      </w:pPr>
      <w:r>
        <w:t xml:space="preserve">坡度输出在模型内可根据主工况概率进行 gate 处理，部署侧还通过 `theta_abs_limit`、`theta_rate_limit` 和 `theta_mpc_deadzone` 控制调度量范围与变化速度。该处理位于模型定义和 MATLAB 默认配置共同作用的链路中。</w:t>
      </w:r>
    </w:p>
    <w:p>
      <w:pPr>
        <w:pStyle w:val="Normal"/>
      </w:pPr>
      <w:r>
        <w:t xml:space="preserve">调度约束的目的不是掩盖模型误差，而是使闭环控制对预测噪声更加稳健。说明书中应将其描述为工程部署侧保护和调理机制。</w:t>
      </w:r>
    </w:p>
    <w:p>
      <w:pPr>
        <w:pStyle w:val="Heading2"/>
        <w:keepNext/>
      </w:pPr>
      <w:r>
        <w:t xml:space="preserve">6.8 ONNX导出与部署</w:t>
      </w:r>
    </w:p>
    <w:p>
      <w:pPr>
        <w:pStyle w:val="Normal"/>
      </w:pPr>
      <w:r>
        <w:t xml:space="preserve">`export_modern_tcn_onnx.py` 将训练好的 checkpoint 导出为 ONNX，并保存 PyTorch 参考输出。默认 ONNX 文件为 `results/modern_tcn/modern_tcn_theta10_uniform_h0_v2_seed21/modern_tcn_seed21.onnx`，输入形状为 `[1,128,19]`，输出名称为 `logits_main`、`logits_turn`、`theta_hat`。</w:t>
      </w:r>
    </w:p>
    <w:p>
      <w:pPr>
        <w:pStyle w:val="Normal"/>
      </w:pPr>
      <w:r>
        <w:t xml:space="preserve">`check_onnxruntime_consistency.py` 和 `ModernTCN_check_matlab_onnx.m` 分别用于 ONNXRuntime 与 MATLAB 端一致性检查。该设计使 PyTorch 训练结果、ONNX 部署文件和 MATLAB 闭环调用之间可追溯。</w:t>
      </w:r>
    </w:p>
    <w:p>
      <w:pPr>
        <w:pStyle w:val="Heading1"/>
        <w:keepNext/>
      </w:pPr>
      <w:r>
        <w:t xml:space="preserve">第7章 训练、评估与模型导出</w:t>
      </w:r>
    </w:p>
    <w:p>
      <w:pPr>
        <w:pStyle w:val="Heading2"/>
        <w:keepNext/>
      </w:pPr>
      <w:r>
        <w:t xml:space="preserve">7.1 训练入口</w:t>
      </w:r>
    </w:p>
    <w:p>
      <w:pPr>
        <w:pStyle w:val="Normal"/>
      </w:pPr>
      <w:r>
        <w:t xml:space="preserve">ModernTCN 单 seed 训练入口为 `src/ModernTCN/train_modern_tcn.py`，多 seed 训练入口为 `src/ModernTCN/run_modern_tcn_theta10_v2_multiseed.py`。训练脚本读取统一数据集，不重新划分 split，不重新拟合 scaler。</w:t>
      </w:r>
    </w:p>
    <w:p>
      <w:pPr>
        <w:pStyle w:val="Normal"/>
      </w:pPr>
      <w:r>
        <w:t xml:space="preserve">训练脚本记录模型配置、数据契约、损失权重、验证指标、测试指标和 checkpoint 路径。训练输出保存在 `results/modern_tcn/` 对应 run_tag 目录。</w:t>
      </w:r>
    </w:p>
    <w:p>
      <w:pPr>
        <w:pStyle w:val="Heading2"/>
        <w:keepNext/>
      </w:pPr>
      <w:r>
        <w:t xml:space="preserve">7.2 多seed训练流程</w:t>
      </w:r>
    </w:p>
    <w:p>
      <w:pPr>
        <w:pStyle w:val="Normal"/>
      </w:pPr>
      <w:r>
        <w:t xml:space="preserve">多 seed 训练流程用于比较随机初始化和训练过程对结果的影响。当前默认部署选择 seed 21，run_tag 为 `modern_tcn_theta10_uniform_h0_v2_seed21`。</w:t>
      </w:r>
    </w:p>
    <w:p>
      <w:pPr>
        <w:pStyle w:val="Normal"/>
      </w:pPr>
      <w:r>
        <w:t xml:space="preserve">多 seed 结果不是软著申请的必要法律事实，但可作为说明书中“对照与验证模块”的实现依据。申请材料应强调软件具备多 seed 训练和结果汇总能力，而不是夸大单个实验结果。</w:t>
      </w:r>
    </w:p>
    <w:p>
      <w:pPr>
        <w:pStyle w:val="Heading2"/>
        <w:keepNext/>
      </w:pPr>
      <w:r>
        <w:t xml:space="preserve">7.3 损失函数和指标</w:t>
      </w:r>
    </w:p>
    <w:p>
      <w:pPr>
        <w:pStyle w:val="Normal"/>
      </w:pPr>
      <w:r>
        <w:t xml:space="preserve">`modern_tcn_metrics.py` 实现多任务损失和指标计算。指标包括主工况准确率、转向准确率、坡度误差、各类别召回率、过渡窗口表现和用于选模的综合评分。</w:t>
      </w:r>
    </w:p>
    <w:p>
      <w:pPr>
        <w:pStyle w:val="Normal"/>
      </w:pPr>
      <w:r>
        <w:t xml:space="preserve">这些指标用于离线评估和模型选择。闭环控制指标另由 `src/Compare` 中的比较脚本计算，二者共同构成“感知性能 + 控制性能”的验证闭环。</w:t>
      </w:r>
    </w:p>
    <w:p>
      <w:pPr>
        <w:pStyle w:val="Heading2"/>
        <w:keepNext/>
      </w:pPr>
      <w:r>
        <w:t xml:space="preserve">7.4 checkpoint保存</w:t>
      </w:r>
    </w:p>
    <w:p>
      <w:pPr>
        <w:pStyle w:val="Normal"/>
      </w:pPr>
      <w:r>
        <w:t xml:space="preserve">训练脚本保存 PyTorch checkpoint、训练历史 CSV、summary CSV 和训练报告。默认 checkpoint 位于 `results/modern_tcn/modern_tcn_theta10_uniform_h0_v2_seed21/modern_tcn_seed21.pt`。</w:t>
      </w:r>
    </w:p>
    <w:p>
      <w:pPr>
        <w:pStyle w:val="Normal"/>
      </w:pPr>
      <w:r>
        <w:t xml:space="preserve">checkpoint 属于模型权重文件，不纳入本次源程序鉴别材料。说明书可引用其作为部署模型生成来源。</w:t>
      </w:r>
    </w:p>
    <w:p>
      <w:pPr>
        <w:pStyle w:val="Heading2"/>
        <w:keepNext/>
      </w:pPr>
      <w:r>
        <w:t xml:space="preserve">7.5 ONNX一致性检查</w:t>
      </w:r>
    </w:p>
    <w:p>
      <w:pPr>
        <w:pStyle w:val="Normal"/>
      </w:pPr>
      <w:r>
        <w:t xml:space="preserve">ONNX 导出后，软件使用 ONNXRuntime 检查 PyTorch 与 ONNX 推理结果的一致性。默认结果目录包含 `modern_tcn_seed21_onnxruntime_consistency.md` 和 JSON 记录。</w:t>
      </w:r>
    </w:p>
    <w:p>
      <w:pPr>
        <w:pStyle w:val="Normal"/>
      </w:pPr>
      <w:r>
        <w:t xml:space="preserve">一致性检查用于确保部署文件与训练模型在相同输入下输出一致，降低跨环境部署时的数值偏差风险。</w:t>
      </w:r>
    </w:p>
    <w:p>
      <w:pPr>
        <w:pStyle w:val="Heading2"/>
        <w:keepNext/>
      </w:pPr>
      <w:r>
        <w:t xml:space="preserve">7.6 MATLAB端一致性检查</w:t>
      </w:r>
    </w:p>
    <w:p>
      <w:pPr>
        <w:pStyle w:val="Normal"/>
      </w:pPr>
      <w:r>
        <w:t xml:space="preserve">MATLAB 端一致性检查由 `ModernTCN_check_matlab_onnx.m` 完成。该脚本读取 ONNX 模型和 PyTorch 参考输出，验证 MATLAB 加载器的输出与导出参考是否一致。</w:t>
      </w:r>
    </w:p>
    <w:p>
      <w:pPr>
        <w:pStyle w:val="Normal"/>
      </w:pPr>
      <w:r>
        <w:t xml:space="preserve">通过该检查后，ONNX 模型可由 MATLAB/Simulink 闭环仿真调用。该环节是 Python 训练环境和 MATLAB 控制仿真环境之间的重要接口验证。</w:t>
      </w:r>
    </w:p>
    <w:p>
      <w:pPr>
        <w:pStyle w:val="Heading1"/>
        <w:keepNext/>
      </w:pPr>
      <w:r>
        <w:t xml:space="preserve">第8章 Simulink闭环仿真模块</w:t>
      </w:r>
    </w:p>
    <w:p>
      <w:pPr>
        <w:pStyle w:val="Heading2"/>
        <w:keepNext/>
      </w:pPr>
      <w:r>
        <w:t xml:space="preserve">8.1 闭环模型组成</w:t>
      </w:r>
    </w:p>
    <w:p>
      <w:pPr>
        <w:pStyle w:val="Normal"/>
      </w:pPr>
      <w:r>
        <w:t xml:space="preserve">Simulink 闭环主模型包括 `simulink/LPVMPC_AGV_simulink_Modern_TCN.slx`、`simulink/LPVMPC_AGV_simulink_GRU.slx`、`simulink/LPVMPC_AGV_simulink_TCN.slx` 和 `simulink/LPVMPC_AGV_simulink_IMU.slx`。其中 ModernTCN 模型是当前主链路，其他模型用于对照。</w:t>
      </w:r>
    </w:p>
    <w:p>
      <w:pPr>
        <w:pStyle w:val="Normal"/>
      </w:pPr>
      <w:r>
        <w:t xml:space="preserve">闭环模型通常包含参考路径输入、车辆 S-Function、状态输出、在线分类器、LPV-MPC 控制器、植物模型更新和结果记录模块。</w:t>
      </w:r>
    </w:p>
    <w:p>
      <w:pPr>
        <w:pStyle w:val="Heading2"/>
        <w:keepNext/>
      </w:pPr>
      <w:r>
        <w:t xml:space="preserve">8.2 预加载函数</w:t>
      </w:r>
    </w:p>
    <w:p>
      <w:pPr>
        <w:pStyle w:val="Normal"/>
      </w:pPr>
      <w:r>
        <w:t xml:space="preserve">`preloadfcn_modern_tcn.m`、`preloadfcn_gru.m` 和 `preloadfcn_tcn.m` 用于在模型加载前准备参数、控制器、路径、数据集、scaler 和预测器。`preloadfcn_gru.m` 在当前项目中也服务多种模式，不应简单理解为只属于 GRU 旧链路。</w:t>
      </w:r>
    </w:p>
    <w:p>
      <w:pPr>
        <w:pStyle w:val="Normal"/>
      </w:pPr>
      <w:r>
        <w:t xml:space="preserve">预加载函数的存在保证仿真模型打开后具备所需工作区变量，避免手动加载顺序错误造成闭环失败。</w:t>
      </w:r>
    </w:p>
    <w:p>
      <w:pPr>
        <w:pStyle w:val="Heading2"/>
        <w:keepNext/>
      </w:pPr>
      <w:r>
        <w:t xml:space="preserve">8.3 在线预测流程</w:t>
      </w:r>
    </w:p>
    <w:p>
      <w:pPr>
        <w:pStyle w:val="Normal"/>
      </w:pPr>
      <w:r>
        <w:t xml:space="preserve">在线预测流程由 `ModernTCN_state_classifier.m`、`ModernTCN_online_step.m`、`ModernTCN_predict_window.m` 和 `ModernTCN_load_predictor.m` 共同实现。模块从车辆输出中提取 19 维特征，维护 128 步窗口，按 scaler 进行归一化，并调用 ONNX/MATLAB 预测器输出三任务结果。</w:t>
      </w:r>
    </w:p>
    <w:p>
      <w:pPr>
        <w:pStyle w:val="Normal"/>
      </w:pPr>
      <w:r>
        <w:t xml:space="preserve">在 Simulink 中，`ModernTCN_State_Classifier_sim.m` 作为包装函数连接 MATLAB 在线预测逻辑和仿真模型。</w:t>
      </w:r>
    </w:p>
    <w:p>
      <w:pPr>
        <w:pStyle w:val="Heading2"/>
        <w:keepNext/>
      </w:pPr>
      <w:r>
        <w:t xml:space="preserve">8.4 LPV-MPC更新流程</w:t>
      </w:r>
    </w:p>
    <w:p>
      <w:pPr>
        <w:pStyle w:val="Normal"/>
      </w:pPr>
      <w:r>
        <w:t xml:space="preserve">LPV-MPC 更新流程由 ModernTCN 输出的调度量、`mpc_update_from_rho.m` 和植物模型更新函数共同完成。调度量经过限幅和变化率控制后用于选择或更新 LPV 模型。</w:t>
      </w:r>
    </w:p>
    <w:p>
      <w:pPr>
        <w:pStyle w:val="Normal"/>
      </w:pPr>
      <w:r>
        <w:t xml:space="preserve">这种设计将感知模型的连续输出纳入控制器调度，但保留 MPC 控制器的约束处理和代价函数结构。</w:t>
      </w:r>
    </w:p>
    <w:p>
      <w:pPr>
        <w:pStyle w:val="Heading2"/>
        <w:keepNext/>
      </w:pPr>
      <w:r>
        <w:t xml:space="preserve">8.5 闭环输出保存</w:t>
      </w:r>
    </w:p>
    <w:p>
      <w:pPr>
        <w:pStyle w:val="Normal"/>
      </w:pPr>
      <w:r>
        <w:t xml:space="preserve">闭环仿真输出包括轨迹、状态、控制输入、工况预测、转向预测、坡度估计、误差指标和分区统计。结果通常保存到 `results/compare/` 下对应实验目录。</w:t>
      </w:r>
    </w:p>
    <w:p>
      <w:pPr>
        <w:pStyle w:val="Normal"/>
      </w:pPr>
      <w:r>
        <w:t xml:space="preserve">`ModernTCN_analyze_closed_loop_out.m` 和对比脚本负责从仿真输出中提取指标，生成 summary CSV、zones CSV、rank CSV 和 Markdown 报告。</w:t>
      </w:r>
    </w:p>
    <w:p>
      <w:pPr>
        <w:pStyle w:val="Heading2"/>
        <w:keepNext/>
      </w:pPr>
      <w:r>
        <w:t xml:space="preserve">8.6 仿真异常处理</w:t>
      </w:r>
    </w:p>
    <w:p>
      <w:pPr>
        <w:pStyle w:val="Normal"/>
      </w:pPr>
      <w:r>
        <w:t xml:space="preserve">仿真异常可能来自路径文件缺失、控制器缓存缺失、ONNX 文件缺失、scaler 不匹配或 Simulink 模型未加载。测试脚本和预加载函数提供了基本检查，用户也可通过 `test_simulink_closed_loop.m` 进行流程验证。</w:t>
      </w:r>
    </w:p>
    <w:p>
      <w:pPr>
        <w:pStyle w:val="Normal"/>
      </w:pPr>
      <w:r>
        <w:t xml:space="preserve">异常处理原则是先确认 `init_project` 已运行，再检查默认配置、路径文件、模型文件、控制器缓存和数据契约是否一致。</w:t>
      </w:r>
    </w:p>
    <w:p>
      <w:pPr>
        <w:pStyle w:val="Heading1"/>
        <w:keepNext/>
      </w:pPr>
      <w:r>
        <w:t xml:space="preserve">第9章 对照算法与基线模块</w:t>
      </w:r>
    </w:p>
    <w:p>
      <w:pPr>
        <w:pStyle w:val="Heading2"/>
        <w:keepNext/>
      </w:pPr>
      <w:r>
        <w:t xml:space="preserve">9.1 GRU基线</w:t>
      </w:r>
    </w:p>
    <w:p>
      <w:pPr>
        <w:pStyle w:val="Normal"/>
      </w:pPr>
      <w:r>
        <w:t xml:space="preserve">GRU 对照模块位于 `src/gru`，包括训练、默认配置、推理、在线分类器和 Simulink 包装函数。当前 GRU 主线使用与 ModernTCN 相同的数据集，便于公平比较。</w:t>
      </w:r>
    </w:p>
    <w:p>
      <w:pPr>
        <w:pStyle w:val="Normal"/>
      </w:pPr>
      <w:r>
        <w:t xml:space="preserve">GRU 在说明书中作为对照与验证模块出现，不作为软件名称中的主创新算法。其作用是帮助评价 ModernTCN 在统一数据和统一闭环平台下的相对表现。</w:t>
      </w:r>
    </w:p>
    <w:p>
      <w:pPr>
        <w:pStyle w:val="Heading2"/>
        <w:keepNext/>
      </w:pPr>
      <w:r>
        <w:t xml:space="preserve">9.2 TCN基线</w:t>
      </w:r>
    </w:p>
    <w:p>
      <w:pPr>
        <w:pStyle w:val="Normal"/>
      </w:pPr>
      <w:r>
        <w:t xml:space="preserve">TCN 对照模块位于 `src/TCN`，包括训练、多 seed 入口、推荐配置、默认配置、预测器加载、窗口预测、在线分类器和 Simulink 配置脚本。</w:t>
      </w:r>
    </w:p>
    <w:p>
      <w:pPr>
        <w:pStyle w:val="Normal"/>
      </w:pPr>
      <w:r>
        <w:t xml:space="preserve">TCN 与 ModernTCN 同属卷积时序模型类别，但结构和训练配置不同。软件保留 TCN 基线用于三算法闭环对比和论文补充验证。</w:t>
      </w:r>
    </w:p>
    <w:p>
      <w:pPr>
        <w:pStyle w:val="Heading2"/>
        <w:keepNext/>
      </w:pPr>
      <w:r>
        <w:t xml:space="preserve">9.3 LPV-MPC theta0基线</w:t>
      </w:r>
    </w:p>
    <w:p>
      <w:pPr>
        <w:pStyle w:val="Normal"/>
      </w:pPr>
      <w:r>
        <w:t xml:space="preserve">LPV-MPC theta0 基线用于表示不使用 AI 感知坡度调度量的控制链路。该基线有助于评估 ModernTCN 输出相对无感知调度的收益。</w:t>
      </w:r>
    </w:p>
    <w:p>
      <w:pPr>
        <w:pStyle w:val="Normal"/>
      </w:pPr>
      <w:r>
        <w:t xml:space="preserve">基线实验入口为 `run_lpvmpc_theta_baseline_experiment.m`，输出与三算法闭环结果合并比较。</w:t>
      </w:r>
    </w:p>
    <w:p>
      <w:pPr>
        <w:pStyle w:val="Heading2"/>
        <w:keepNext/>
      </w:pPr>
      <w:r>
        <w:t xml:space="preserve">9.4 IMU theta基线</w:t>
      </w:r>
    </w:p>
    <w:p>
      <w:pPr>
        <w:pStyle w:val="Normal"/>
      </w:pPr>
      <w:r>
        <w:t xml:space="preserve">IMU theta 基线使用简化 IMU 坡度估计作为调度参考。它不是当前主方法，而是用于验证仅依赖简单传感估计时的闭环表现。</w:t>
      </w:r>
    </w:p>
    <w:p>
      <w:pPr>
        <w:pStyle w:val="Normal"/>
      </w:pPr>
      <w:r>
        <w:t xml:space="preserve">说明书中应将该模块描述为可选对照模型，避免将其写成软件主要功能或主要创新。</w:t>
      </w:r>
    </w:p>
    <w:p>
      <w:pPr>
        <w:pStyle w:val="Heading2"/>
        <w:keepNext/>
      </w:pPr>
      <w:r>
        <w:t xml:space="preserve">9.5 true-theta oracle上界</w:t>
      </w:r>
    </w:p>
    <w:p>
      <w:pPr>
        <w:pStyle w:val="Normal"/>
      </w:pPr>
      <w:r>
        <w:t xml:space="preserve">true-theta oracle 使用真实坡度作为调度参考，代表闭环控制在坡度信息理想可得时的上界参考。它不是实际部署算法，而是评价 ModernTCN 距离理想调度的差距。</w:t>
      </w:r>
    </w:p>
    <w:p>
      <w:pPr>
        <w:pStyle w:val="Normal"/>
      </w:pPr>
      <w:r>
        <w:t xml:space="preserve">该上界用于分析 ModernTCN 在横向跟踪、控制平滑性和坡度调度方面的改进空间。</w:t>
      </w:r>
    </w:p>
    <w:p>
      <w:pPr>
        <w:pStyle w:val="Heading2"/>
        <w:keepNext/>
      </w:pPr>
      <w:r>
        <w:t xml:space="preserve">9.6 对照模块的作用边界</w:t>
      </w:r>
    </w:p>
    <w:p>
      <w:pPr>
        <w:pStyle w:val="Normal"/>
      </w:pPr>
      <w:r>
        <w:t xml:space="preserve">GRU、TCN、theta0、IMU theta 和 oracle 均用于对照验证。申请名称和说明书主体应聚焦 AGV 工况感知、LPV-MPC 调度控制和闭环仿真软件系统，避免把对照算法描述为本软件全部核心。</w:t>
      </w:r>
    </w:p>
    <w:p>
      <w:pPr>
        <w:pStyle w:val="Normal"/>
      </w:pPr>
      <w:r>
        <w:t xml:space="preserve">对照模块的存在增强了软件的验证能力，使软件能够自动输出公平对照结果、多路径结果、扰动结果和实时性结果。</w:t>
      </w:r>
    </w:p>
    <w:p>
      <w:pPr>
        <w:pStyle w:val="Heading1"/>
        <w:keepNext/>
      </w:pPr>
      <w:r>
        <w:t xml:space="preserve">第10章 实验、报告与验证模块</w:t>
      </w:r>
    </w:p>
    <w:p>
      <w:pPr>
        <w:pStyle w:val="Heading2"/>
        <w:keepNext/>
      </w:pPr>
      <w:r>
        <w:t xml:space="preserve">10.1 三算法闭环对比</w:t>
      </w:r>
    </w:p>
    <w:p>
      <w:pPr>
        <w:pStyle w:val="Normal"/>
      </w:pPr>
      <w:r>
        <w:t xml:space="preserve">三算法闭环对比由 `compare_tcn_gru_modern_closed_loop_out.m` 实现，比较 ModernTCN、GRU 和 TCN 在同一闭环路径和统一控制平台下的表现。输出包括 summary、zones、rank 和报告文件。</w:t>
      </w:r>
    </w:p>
    <w:p>
      <w:pPr>
        <w:pStyle w:val="Normal"/>
      </w:pPr>
      <w:r>
        <w:t xml:space="preserve">该模块用于评估不同工况感知模型对轨迹跟踪、转向识别、坡度估计和控制输入平滑性的影响。</w:t>
      </w:r>
    </w:p>
    <w:p>
      <w:pPr>
        <w:pStyle w:val="Heading2"/>
        <w:keepNext/>
      </w:pPr>
      <w:r>
        <w:t xml:space="preserve">10.2 多路径闭环实验</w:t>
      </w:r>
    </w:p>
    <w:p>
      <w:pPr>
        <w:pStyle w:val="Normal"/>
      </w:pPr>
      <w:r>
        <w:t xml:space="preserve">多路径闭环实验由 `run_multi_path_closed_loop_benchmark.m` 实现。该模块在多条闭环评估路径上运行算法链路，检查结论是否依赖单一路径或单一工况。</w:t>
      </w:r>
    </w:p>
    <w:p>
      <w:pPr>
        <w:pStyle w:val="Normal"/>
      </w:pPr>
      <w:r>
        <w:t xml:space="preserve">多路径评估结果用于增强软件验证流程的鲁棒性和可复现性。</w:t>
      </w:r>
    </w:p>
    <w:p>
      <w:pPr>
        <w:pStyle w:val="Heading2"/>
        <w:keepNext/>
      </w:pPr>
      <w:r>
        <w:t xml:space="preserve">10.3 扰动鲁棒性实验</w:t>
      </w:r>
    </w:p>
    <w:p>
      <w:pPr>
        <w:pStyle w:val="Normal"/>
      </w:pPr>
      <w:r>
        <w:t xml:space="preserve">扰动鲁棒性实验由 `run_closed_loop_robustness_experiment.m` 实现。该模块在不同扰动等级下运行闭环仿真，评价控制链路对扰动和工况变化的敏感性。</w:t>
      </w:r>
    </w:p>
    <w:p>
      <w:pPr>
        <w:pStyle w:val="Normal"/>
      </w:pPr>
      <w:r>
        <w:t xml:space="preserve">结果可用于比较不同算法在扰动条件下的综合排名、误差变化和控制平滑性。</w:t>
      </w:r>
    </w:p>
    <w:p>
      <w:pPr>
        <w:pStyle w:val="Heading2"/>
        <w:keepNext/>
      </w:pPr>
      <w:r>
        <w:t xml:space="preserve">10.4 实时性测试</w:t>
      </w:r>
    </w:p>
    <w:p>
      <w:pPr>
        <w:pStyle w:val="Normal"/>
      </w:pPr>
      <w:r>
        <w:t xml:space="preserve">实时性测试包括 `benchmark_modern_tcn_onnx_runtime.py` 和 `run_realtime_benchmark.m`。前者测量 ONNXRuntime 单窗口推理时间，后者汇总推理、MPC 求解和整体周期余量。</w:t>
      </w:r>
    </w:p>
    <w:p>
      <w:pPr>
        <w:pStyle w:val="Normal"/>
      </w:pPr>
      <w:r>
        <w:t xml:space="preserve">项目上下文记录 ONNXRuntime+MPC 核心链路 p95 总周期约 0.492 ms，小于 10 ms 控制周期。MATLAB/Simulink extrinsic 封装主要用于桌面仿真验证，不应表述为最终嵌入式硬实时部署。</w:t>
      </w:r>
    </w:p>
    <w:p>
      <w:pPr>
        <w:pStyle w:val="Heading2"/>
        <w:keepNext/>
      </w:pPr>
      <w:r>
        <w:t xml:space="preserve">10.5 测试脚本</w:t>
      </w:r>
    </w:p>
    <w:p>
      <w:pPr>
        <w:pStyle w:val="Normal"/>
      </w:pPr>
      <w:r>
        <w:t xml:space="preserve">测试脚本位于 `src/tests`，包括 Simulink 闭环测试、GRU 工作流测试、GRU 性能和延迟测试、滤波常数测试、AGV 开环测试和工业开环项目测试。</w:t>
      </w:r>
    </w:p>
    <w:p>
      <w:pPr>
        <w:pStyle w:val="Normal"/>
      </w:pPr>
      <w:r>
        <w:t xml:space="preserve">这些测试用于验证项目初始化、模型加载、仿真链路、分类器推理和性能统计的可用性。</w:t>
      </w:r>
    </w:p>
    <w:p>
      <w:pPr>
        <w:pStyle w:val="Heading2"/>
        <w:keepNext/>
      </w:pPr>
      <w:r>
        <w:t xml:space="preserve">10.6 输出报告</w:t>
      </w:r>
    </w:p>
    <w:p>
      <w:pPr>
        <w:pStyle w:val="Normal"/>
      </w:pPr>
      <w:r>
        <w:t xml:space="preserve">软件自动输出 Markdown、CSV、MAT、PNG/PDF 图表和模型文件。软著源码材料仅纳入 MATLAB/Python 源程序；结果报告和图表只作为说明书中的功能输出示例，不纳入源程序鉴别材料。</w:t>
      </w:r>
    </w:p>
    <w:p>
      <w:pPr>
        <w:pStyle w:val="Normal"/>
      </w:pPr>
      <w:r>
        <w:t xml:space="preserve">报告文件使每次训练和闭环实验具备可追溯性，便于复核输入数据、模型版本、路径和指标。</w:t>
      </w:r>
    </w:p>
    <w:p>
      <w:pPr>
        <w:pStyle w:val="Heading1"/>
        <w:keepNext/>
      </w:pPr>
      <w:r>
        <w:t xml:space="preserve">第11章 用户使用说明</w:t>
      </w:r>
    </w:p>
    <w:p>
      <w:pPr>
        <w:pStyle w:val="Heading2"/>
        <w:keepNext/>
      </w:pPr>
      <w:r>
        <w:t xml:space="preserve">11.1 初始化项目</w:t>
      </w:r>
    </w:p>
    <w:p>
      <w:pPr>
        <w:pStyle w:val="Normal"/>
      </w:pPr>
      <w:r>
        <w:t xml:space="preserve">用户在 MATLAB 中进入项目根目录后运行 `init_project`，该函数将 `src/core`、`src/lpv`、`src/mpc`、`src/paths`、`src/gru`、`src/TCN`、`src/ModernTCN` 和 `src/Compare` 加入搜索路径。</w:t>
      </w:r>
    </w:p>
    <w:p>
      <w:pPr>
        <w:pStyle w:val="Normal"/>
      </w:pPr>
      <w:r>
        <w:t xml:space="preserve">`project_root.m` 用于定位项目根目录，`results_dir.m` 用于生成或返回结果目录。</w:t>
      </w:r>
    </w:p>
    <w:p>
      <w:pPr>
        <w:pStyle w:val="Heading2"/>
        <w:keepNext/>
      </w:pPr>
      <w:r>
        <w:t xml:space="preserve">11.2 加载默认ModernTCN配置</w:t>
      </w:r>
    </w:p>
    <w:p>
      <w:pPr>
        <w:pStyle w:val="Normal"/>
      </w:pPr>
      <w:r>
        <w:t xml:space="preserve">默认配置由 `ModernTCN_default_config(project_root())` 返回。配置包含 seed、run_tag、数据集文件、raw train data、ONNX 文件、参考输出文件和部署侧 theta 调理参数。</w:t>
      </w:r>
    </w:p>
    <w:p>
      <w:pPr>
        <w:pStyle w:val="Normal"/>
      </w:pPr>
      <w:r>
        <w:t xml:space="preserve">用户若临时测试其它 checkpoint，可在调用脚本中覆盖 run_tag、onnx_file 或 dataset_file，但提交材料中应保持默认版本描述一致。</w:t>
      </w:r>
    </w:p>
    <w:p>
      <w:pPr>
        <w:pStyle w:val="Heading2"/>
        <w:keepNext/>
      </w:pPr>
      <w:r>
        <w:t xml:space="preserve">11.3 运行离线训练</w:t>
      </w:r>
    </w:p>
    <w:p>
      <w:pPr>
        <w:pStyle w:val="Normal"/>
      </w:pPr>
      <w:r>
        <w:t xml:space="preserve">离线训练通过 Python 执行。用户可运行 `train_modern_tcn.py` 进行单 seed 训练，也可运行 `run_modern_tcn_theta10_v2_multiseed.py` 进行多 seed 实验。</w:t>
      </w:r>
    </w:p>
    <w:p>
      <w:pPr>
        <w:pStyle w:val="Normal"/>
      </w:pPr>
      <w:r>
        <w:t xml:space="preserve">训练前应确认数据集和数据契约存在，且 Python 环境安装了 PyTorch 等依赖。</w:t>
      </w:r>
    </w:p>
    <w:p>
      <w:pPr>
        <w:pStyle w:val="Heading2"/>
        <w:keepNext/>
      </w:pPr>
      <w:r>
        <w:t xml:space="preserve">11.4 导出ONNX模型</w:t>
      </w:r>
    </w:p>
    <w:p>
      <w:pPr>
        <w:pStyle w:val="Normal"/>
      </w:pPr>
      <w:r>
        <w:t xml:space="preserve">训练完成后运行 `export_modern_tcn_onnx.py` 导出 ONNX。导出脚本使用固定输入形状 `[1,128,19]`，输出名称为 `logits_main`、`logits_turn`、`theta_hat`。</w:t>
      </w:r>
    </w:p>
    <w:p>
      <w:pPr>
        <w:pStyle w:val="Normal"/>
      </w:pPr>
      <w:r>
        <w:t xml:space="preserve">导出后建议运行 ONNXRuntime 一致性检查和 MATLAB ONNX 一致性检查。</w:t>
      </w:r>
    </w:p>
    <w:p>
      <w:pPr>
        <w:pStyle w:val="Heading2"/>
        <w:keepNext/>
      </w:pPr>
      <w:r>
        <w:t xml:space="preserve">11.5 运行闭环仿真</w:t>
      </w:r>
    </w:p>
    <w:p>
      <w:pPr>
        <w:pStyle w:val="Normal"/>
      </w:pPr>
      <w:r>
        <w:t xml:space="preserve">用户加载 `simulink/LPVMPC_AGV_simulink_Modern_TCN.slx` 后运行仿真。仿真前应确保预加载函数能够找到控制器、LPV 网格、路径、数据集、scaler 和 ONNX 文件。</w:t>
      </w:r>
    </w:p>
    <w:p>
      <w:pPr>
        <w:pStyle w:val="Normal"/>
      </w:pPr>
      <w:r>
        <w:t xml:space="preserve">若需要批量运行，可使用 `run_closed_loop_model_once.m` 或 `src/Compare` 下的实验入口脚本。</w:t>
      </w:r>
    </w:p>
    <w:p>
      <w:pPr>
        <w:pStyle w:val="Heading2"/>
        <w:keepNext/>
      </w:pPr>
      <w:r>
        <w:t xml:space="preserve">11.6 运行对比实验</w:t>
      </w:r>
    </w:p>
    <w:p>
      <w:pPr>
        <w:pStyle w:val="Normal"/>
      </w:pPr>
      <w:r>
        <w:t xml:space="preserve">对比实验包括 ModernTCN/GRU 对比、ModernTCN/GRU/TCN 三算法对比、LPV-MPC theta 基线、多路径闭环、扰动鲁棒性和实时性测试。</w:t>
      </w:r>
    </w:p>
    <w:p>
      <w:pPr>
        <w:pStyle w:val="Normal"/>
      </w:pPr>
      <w:r>
        <w:t xml:space="preserve">这些脚本输出统一格式的指标表和报告，便于申请人或开发者复核软件功能。</w:t>
      </w:r>
    </w:p>
    <w:p>
      <w:pPr>
        <w:pStyle w:val="Heading2"/>
        <w:keepNext/>
      </w:pPr>
      <w:r>
        <w:t xml:space="preserve">11.7 查看结果</w:t>
      </w:r>
    </w:p>
    <w:p>
      <w:pPr>
        <w:pStyle w:val="Normal"/>
      </w:pPr>
      <w:r>
        <w:t xml:space="preserve">训练结果位于 `results/modern_tcn/`、`results/gru/` 和 `results/tcn/`。闭环对比结果位于 `results/compare/`。论文图表和补充结果位于 `results/paper/`。</w:t>
      </w:r>
    </w:p>
    <w:p>
      <w:pPr>
        <w:pStyle w:val="Normal"/>
      </w:pPr>
      <w:r>
        <w:t xml:space="preserve">用户查看结果时应注意区分源码、数据、模型、结果和论文图表，不应将结果文件误作为源程序材料提交。</w:t>
      </w:r>
    </w:p>
    <w:p>
      <w:pPr>
        <w:pStyle w:val="Heading2"/>
        <w:keepNext/>
      </w:pPr>
      <w:r>
        <w:t xml:space="preserve">11.8 常见问题</w:t>
      </w:r>
    </w:p>
    <w:p>
      <w:pPr>
        <w:pStyle w:val="Normal"/>
      </w:pPr>
      <w:r>
        <w:t xml:space="preserve">若 MATLAB 提示找不到函数，应先运行 `init_project`。若 ONNX 文件缺失，应检查 `ModernTCN_default_config.m` 的 run_tag 和路径。若维度不匹配，应检查数据契约和 scaler 是否对应当前数据集。</w:t>
      </w:r>
    </w:p>
    <w:p>
      <w:pPr>
        <w:pStyle w:val="Normal"/>
      </w:pPr>
      <w:r>
        <w:t xml:space="preserve">若 Simulink 闭环加载失败，应检查 `data/models` 下控制器和线性化数据库是否存在，以及 Simulink 模型是否与预加载函数匹配。</w:t>
      </w:r>
    </w:p>
    <w:p>
      <w:pPr>
        <w:pStyle w:val="Heading1"/>
        <w:keepNext/>
      </w:pPr>
      <w:r>
        <w:t xml:space="preserve">第12章 技术特点</w:t>
      </w:r>
    </w:p>
    <w:p>
      <w:pPr>
        <w:pStyle w:val="Heading2"/>
        <w:keepNext/>
      </w:pPr>
      <w:r>
        <w:t xml:space="preserve">12.1 面向AGV闭环控制的多任务时序感知</w:t>
      </w:r>
    </w:p>
    <w:p>
      <w:pPr>
        <w:pStyle w:val="Normal"/>
      </w:pPr>
      <w:r>
        <w:t xml:space="preserve">软件将主工况分类、转向方向分类和坡度回归组织为同一 ModernTCN 多任务模型，避免为每个任务维护完全独立的数据链和部署链。</w:t>
      </w:r>
    </w:p>
    <w:p>
      <w:pPr>
        <w:pStyle w:val="Normal"/>
      </w:pPr>
      <w:r>
        <w:t xml:space="preserve">该设计使在线闭环能够同时获得离散状态和连续调度量，适用于坡道、转向和异常工况共同存在的 AGV 场景。</w:t>
      </w:r>
    </w:p>
    <w:p>
      <w:pPr>
        <w:pStyle w:val="Heading2"/>
        <w:keepNext/>
      </w:pPr>
      <w:r>
        <w:t xml:space="preserve">12.2 LPV-MPC与深度时序模型协同</w:t>
      </w:r>
    </w:p>
    <w:p>
      <w:pPr>
        <w:pStyle w:val="Normal"/>
      </w:pPr>
      <w:r>
        <w:t xml:space="preserve">软件保留 LPV-MPC 的控制器结构和约束处理能力，同时利用 ModernTCN 输出辅助调度。深度模型负责感知，MPC 负责控制优化，两者在闭环中协同工作。</w:t>
      </w:r>
    </w:p>
    <w:p>
      <w:pPr>
        <w:pStyle w:val="Normal"/>
      </w:pPr>
      <w:r>
        <w:t xml:space="preserve">这种模块化关系使软件既能接入 ModernTCN，也能接入 GRU、TCN 或其它对照模型进行比较。</w:t>
      </w:r>
    </w:p>
    <w:p>
      <w:pPr>
        <w:pStyle w:val="Heading2"/>
        <w:keepNext/>
      </w:pPr>
      <w:r>
        <w:t xml:space="preserve">12.3 统一数据契约与公平对照</w:t>
      </w:r>
    </w:p>
    <w:p>
      <w:pPr>
        <w:pStyle w:val="Normal"/>
      </w:pPr>
      <w:r>
        <w:t xml:space="preserve">当前 ModernTCN、GRU 和 TCN 使用同一数据集、同一 19 维特征、同一 run-level split 和同一 scaler 策略。该设计降低了数据差异对算法比较的干扰。</w:t>
      </w:r>
    </w:p>
    <w:p>
      <w:pPr>
        <w:pStyle w:val="Normal"/>
      </w:pPr>
      <w:r>
        <w:t xml:space="preserve">数据契约文件提供了可追溯的输入、标签、split 和 scaler 定义，便于后续复现实验。</w:t>
      </w:r>
    </w:p>
    <w:p>
      <w:pPr>
        <w:pStyle w:val="Heading2"/>
        <w:keepNext/>
      </w:pPr>
      <w:r>
        <w:t xml:space="preserve">12.4 ONNX/MATLAB/Simulink跨环境部署</w:t>
      </w:r>
    </w:p>
    <w:p>
      <w:pPr>
        <w:pStyle w:val="Normal"/>
      </w:pPr>
      <w:r>
        <w:t xml:space="preserve">软件支持从 PyTorch 训练模型导出 ONNX，再由 MATLAB 端加载并在 Simulink 闭环中调用。ONNXRuntime 和 MATLAB 一致性检查用于验证跨环境输出一致性。</w:t>
      </w:r>
    </w:p>
    <w:p>
      <w:pPr>
        <w:pStyle w:val="Normal"/>
      </w:pPr>
      <w:r>
        <w:t xml:space="preserve">该链路提升了模型从训练环境到控制仿真环境的可迁移性。</w:t>
      </w:r>
    </w:p>
    <w:p>
      <w:pPr>
        <w:pStyle w:val="Heading2"/>
        <w:keepNext/>
      </w:pPr>
      <w:r>
        <w:t xml:space="preserve">12.5 多路径、扰动和实时性验证</w:t>
      </w:r>
    </w:p>
    <w:p>
      <w:pPr>
        <w:pStyle w:val="Normal"/>
      </w:pPr>
      <w:r>
        <w:t xml:space="preserve">软件提供多路径闭环实验、扰动鲁棒性实验和实时性测试，能够从不同角度评价闭环控制链路。验证结果以 CSV 和 Markdown 报告形式保存。</w:t>
      </w:r>
    </w:p>
    <w:p>
      <w:pPr>
        <w:pStyle w:val="Normal"/>
      </w:pPr>
      <w:r>
        <w:t xml:space="preserve">这些验证模块使软件不仅能训练模型，还能系统评估模型对控制性能的影响。</w:t>
      </w:r>
    </w:p>
    <w:p>
      <w:pPr>
        <w:pStyle w:val="Heading1"/>
        <w:keepNext/>
      </w:pPr>
      <w:r>
        <w:t xml:space="preserve">第13章 数据安全与维护</w:t>
      </w:r>
    </w:p>
    <w:p>
      <w:pPr>
        <w:pStyle w:val="Heading2"/>
        <w:keepNext/>
      </w:pPr>
      <w:r>
        <w:t xml:space="preserve">13.1 本地数据处理</w:t>
      </w:r>
    </w:p>
    <w:p>
      <w:pPr>
        <w:pStyle w:val="Normal"/>
      </w:pPr>
      <w:r>
        <w:t xml:space="preserve">软件默认在本地文件系统处理数据、模型和结果，不需要将训练数据或身份材料上传到外部服务。申请材料生成时也不写入身份证、营业执照、公章或签名扫描件。</w:t>
      </w:r>
    </w:p>
    <w:p>
      <w:pPr>
        <w:pStyle w:val="Normal"/>
      </w:pPr>
      <w:r>
        <w:t xml:space="preserve">如申请人另行公开仓库，应自行确认公开内容是否包含敏感信息、第三方数据或权属受限材料。</w:t>
      </w:r>
    </w:p>
    <w:p>
      <w:pPr>
        <w:pStyle w:val="Heading2"/>
        <w:keepNext/>
      </w:pPr>
      <w:r>
        <w:t xml:space="preserve">13.2 文件管理</w:t>
      </w:r>
    </w:p>
    <w:p>
      <w:pPr>
        <w:pStyle w:val="Normal"/>
      </w:pPr>
      <w:r>
        <w:t xml:space="preserve">项目通过 `PROJECT_FLOW_MANIFEST.md` 区分 KEEP_ACTIVE、KEEP_RESULT、ARCHIVE_LEGACY、DELETE_CANDIDATE 和 REVIEW 文件。软著材料生成时遵循白名单源码选择和排除规则。</w:t>
      </w:r>
    </w:p>
    <w:p>
      <w:pPr>
        <w:pStyle w:val="Normal"/>
      </w:pPr>
      <w:r>
        <w:t xml:space="preserve">建议在提交材料前保持 `soft_copyright_application/` 与源码仓库分离备份，避免后续实验结果覆盖申请材料。</w:t>
      </w:r>
    </w:p>
    <w:p>
      <w:pPr>
        <w:pStyle w:val="Heading2"/>
        <w:keepNext/>
      </w:pPr>
      <w:r>
        <w:t xml:space="preserve">13.3 结果可追溯</w:t>
      </w:r>
    </w:p>
    <w:p>
      <w:pPr>
        <w:pStyle w:val="Normal"/>
      </w:pPr>
      <w:r>
        <w:t xml:space="preserve">训练脚本、闭环脚本和报告文件记录数据集、模型配置、seed、路径和指标。默认 ModernTCN 部署模型固定为 seed 21，便于追溯。</w:t>
      </w:r>
    </w:p>
    <w:p>
      <w:pPr>
        <w:pStyle w:val="Normal"/>
      </w:pPr>
      <w:r>
        <w:t xml:space="preserve">可追溯性有助于确认申请材料中的功能描述与项目实际文件一致。</w:t>
      </w:r>
    </w:p>
    <w:p>
      <w:pPr>
        <w:pStyle w:val="Heading2"/>
        <w:keepNext/>
      </w:pPr>
      <w:r>
        <w:t xml:space="preserve">13.4 版本维护</w:t>
      </w:r>
    </w:p>
    <w:p>
      <w:pPr>
        <w:pStyle w:val="Normal"/>
      </w:pPr>
      <w:r>
        <w:t xml:space="preserve">当前材料对应 V1.0。若后续修改软件名称、数据契约、模型结构、默认 seed、Simulink 模型或控制器配置，应同步更新说明书、申请字段、源码页眉和一致性检查报告。</w:t>
      </w:r>
    </w:p>
    <w:p>
      <w:pPr>
        <w:pStyle w:val="Normal"/>
      </w:pPr>
      <w:r>
        <w:t xml:space="preserve">版本维护时应保留变更记录，避免不同材料中出现软件名称、版本号或模型路径不一致。</w:t>
      </w:r>
    </w:p>
    <w:p>
      <w:pPr>
        <w:pStyle w:val="Heading1"/>
        <w:keepNext/>
      </w:pPr>
      <w:r>
        <w:t xml:space="preserve">第14章 版本说明</w:t>
      </w:r>
    </w:p>
    <w:p>
      <w:pPr>
        <w:pStyle w:val="Heading2"/>
        <w:keepNext/>
      </w:pPr>
      <w:r>
        <w:t xml:space="preserve">14.1 V1.0功能范围</w:t>
      </w:r>
    </w:p>
    <w:p>
      <w:pPr>
        <w:pStyle w:val="Normal"/>
      </w:pPr>
      <w:r>
        <w:t xml:space="preserve">V1.0 包括项目初始化、AGV车辆模型、LPV线性化、MPC控制器、路径生成、统一数据集、ModernTCN训练部署、MATLAB在线推理、Simulink闭环仿真、GRU/TCN对照、多路径与扰动鲁棒性实验、实时性测试和材料一致性检查。</w:t>
      </w:r>
    </w:p>
    <w:p>
      <w:pPr>
        <w:pStyle w:val="Normal"/>
      </w:pPr>
      <w:r>
        <w:t xml:space="preserve">V1.0 不声明已经完成嵌入式硬实时部署，不包含第三方框架源码，不包含申请人身份材料和权属证明文件。</w:t>
      </w:r>
    </w:p>
    <w:p>
      <w:pPr>
        <w:pStyle w:val="Heading2"/>
        <w:keepNext/>
      </w:pPr>
      <w:r>
        <w:t xml:space="preserve">14.2 后续扩展方向</w:t>
      </w:r>
    </w:p>
    <w:p>
      <w:pPr>
        <w:pStyle w:val="Normal"/>
      </w:pPr>
      <w:r>
        <w:t xml:space="preserve">后续可扩展方向包括嵌入式部署接口、更多传感器融合、更多路径和载荷工况、在线异常诊断、控制器参数自动整定、结果可视化界面和更严格的自动化测试。</w:t>
      </w:r>
    </w:p>
    <w:p>
      <w:pPr>
        <w:pStyle w:val="Normal"/>
      </w:pPr>
      <w:r>
        <w:t xml:space="preserve">这些扩展不影响当前 V1.0 作为 AGV 工况感知与 LPV-MPC 闭环控制仿真软件的功能边界。</w:t>
      </w:r>
    </w:p>
    <w:p>
      <w:pPr>
        <w:pStyle w:val="Heading1"/>
        <w:keepNext/>
      </w:pPr>
      <w:r>
        <w:t xml:space="preserve">附录A 主要源码文件清单</w:t>
      </w:r>
    </w:p>
    <w:tbl>
      <w:tblPr>
        <w:tblW w:w="9020" w:type="dxa"/>
        <w:tblBorders>
          <w:top w:val="single" w:sz="4" w:space="0" w:color="9E9E9E"/>
          <w:left w:val="single" w:sz="4" w:space="0" w:color="9E9E9E"/>
          <w:bottom w:val="single" w:sz="4" w:space="0" w:color="9E9E9E"/>
          <w:right w:val="single" w:sz="4" w:space="0" w:color="9E9E9E"/>
          <w:insideH w:val="single" w:sz="4" w:space="0" w:color="C8C8C8"/>
          <w:insideV w:val="single" w:sz="4" w:space="0" w:color="C8C8C8"/>
        </w:tblBorders>
        <w:tblCellMar>
          <w:top w:w="90" w:type="dxa"/>
          <w:left w:w="90" w:type="dxa"/>
          <w:bottom w:w="90" w:type="dxa"/>
          <w:right w:w="90" w:type="dxa"/>
        </w:tblCellMar>
      </w:tblPr>
      <w:tblGrid>
        <w:gridCol w:w="3006"/>
        <w:gridCol w:w="3006"/>
        <w:gridCol w:w="3006"/>
      </w:tblGrid>
      <w:tr>
        <w:trPr>
          <w:tblHeader/>
        </w:trPr>
        <w:tc>
          <w:tcPr>
            <w:tcW w:w="3006" w:type="dxa"/>
            <w:shd w:fill="EAF2F8"/>
            <w:vAlign w:val="center"/>
          </w:tcPr>
          <w:p>
            <w:pPr>
              <w:pStyle w:val="TableText"/>
            </w:pPr>
            <w:r>
              <w:t xml:space="preserve">模块</w:t>
            </w:r>
          </w:p>
        </w:tc>
        <w:tc>
          <w:tcPr>
            <w:tcW w:w="3006" w:type="dxa"/>
            <w:shd w:fill="EAF2F8"/>
            <w:vAlign w:val="center"/>
          </w:tcPr>
          <w:p>
            <w:pPr>
              <w:pStyle w:val="TableText"/>
            </w:pPr>
            <w:r>
              <w:t xml:space="preserve">主要文件</w:t>
            </w:r>
          </w:p>
        </w:tc>
        <w:tc>
          <w:tcPr>
            <w:tcW w:w="3006" w:type="dxa"/>
            <w:shd w:fill="EAF2F8"/>
            <w:vAlign w:val="center"/>
          </w:tcPr>
          <w:p>
            <w:pPr>
              <w:pStyle w:val="TableText"/>
            </w:pPr>
            <w:r>
              <w:t xml:space="preserve">说明</w:t>
            </w:r>
          </w:p>
        </w:tc>
      </w:tr>
      <w:tr>
        <w:tc>
          <w:tcPr>
            <w:tcW w:w="3006" w:type="dxa"/>
            <w:vAlign w:val="center"/>
          </w:tcPr>
          <w:p>
            <w:pPr>
              <w:pStyle w:val="TableText"/>
            </w:pPr>
            <w:r>
              <w:t xml:space="preserve">项目初始化</w:t>
            </w:r>
          </w:p>
        </w:tc>
        <w:tc>
          <w:tcPr>
            <w:tcW w:w="3006" w:type="dxa"/>
            <w:vAlign w:val="center"/>
          </w:tcPr>
          <w:p>
            <w:pPr>
              <w:pStyle w:val="TableText"/>
            </w:pPr>
            <w:r>
              <w:t xml:space="preserve">init_project.m, project_root.m, results_dir.m</w:t>
            </w:r>
          </w:p>
        </w:tc>
        <w:tc>
          <w:tcPr>
            <w:tcW w:w="3006" w:type="dxa"/>
            <w:vAlign w:val="center"/>
          </w:tcPr>
          <w:p>
            <w:pPr>
              <w:pStyle w:val="TableText"/>
            </w:pPr>
            <w:r>
              <w:t xml:space="preserve">设置路径和结果目录</w:t>
            </w:r>
          </w:p>
        </w:tc>
      </w:tr>
      <w:tr>
        <w:tc>
          <w:tcPr>
            <w:tcW w:w="3006" w:type="dxa"/>
            <w:vAlign w:val="center"/>
          </w:tcPr>
          <w:p>
            <w:pPr>
              <w:pStyle w:val="TableText"/>
            </w:pPr>
            <w:r>
              <w:t xml:space="preserve">车辆模型</w:t>
            </w:r>
          </w:p>
        </w:tc>
        <w:tc>
          <w:tcPr>
            <w:tcW w:w="3006" w:type="dxa"/>
            <w:vAlign w:val="center"/>
          </w:tcPr>
          <w:p>
            <w:pPr>
              <w:pStyle w:val="TableText"/>
            </w:pPr>
            <w:r>
              <w:t xml:space="preserve">src/core/agv_model_sfunc.m, state_eq.m, output_eq.m</w:t>
            </w:r>
          </w:p>
        </w:tc>
        <w:tc>
          <w:tcPr>
            <w:tcW w:w="3006" w:type="dxa"/>
            <w:vAlign w:val="center"/>
          </w:tcPr>
          <w:p>
            <w:pPr>
              <w:pStyle w:val="TableText"/>
            </w:pPr>
            <w:r>
              <w:t xml:space="preserve">AGV动力学与输出</w:t>
            </w:r>
          </w:p>
        </w:tc>
      </w:tr>
      <w:tr>
        <w:tc>
          <w:tcPr>
            <w:tcW w:w="3006" w:type="dxa"/>
            <w:vAlign w:val="center"/>
          </w:tcPr>
          <w:p>
            <w:pPr>
              <w:pStyle w:val="TableText"/>
            </w:pPr>
            <w:r>
              <w:t xml:space="preserve">LPV线性化</w:t>
            </w:r>
          </w:p>
        </w:tc>
        <w:tc>
          <w:tcPr>
            <w:tcW w:w="3006" w:type="dxa"/>
            <w:vAlign w:val="center"/>
          </w:tcPr>
          <w:p>
            <w:pPr>
              <w:pStyle w:val="TableText"/>
            </w:pPr>
            <w:r>
              <w:t xml:space="preserve">src/lpv/lin_agv_at_point.m, lin_agv_grid.m</w:t>
            </w:r>
          </w:p>
        </w:tc>
        <w:tc>
          <w:tcPr>
            <w:tcW w:w="3006" w:type="dxa"/>
            <w:vAlign w:val="center"/>
          </w:tcPr>
          <w:p>
            <w:pPr>
              <w:pStyle w:val="TableText"/>
            </w:pPr>
            <w:r>
              <w:t xml:space="preserve">生成线性化模型网格</w:t>
            </w:r>
          </w:p>
        </w:tc>
      </w:tr>
      <w:tr>
        <w:tc>
          <w:tcPr>
            <w:tcW w:w="3006" w:type="dxa"/>
            <w:vAlign w:val="center"/>
          </w:tcPr>
          <w:p>
            <w:pPr>
              <w:pStyle w:val="TableText"/>
            </w:pPr>
            <w:r>
              <w:t xml:space="preserve">MPC控制</w:t>
            </w:r>
          </w:p>
        </w:tc>
        <w:tc>
          <w:tcPr>
            <w:tcW w:w="3006" w:type="dxa"/>
            <w:vAlign w:val="center"/>
          </w:tcPr>
          <w:p>
            <w:pPr>
              <w:pStyle w:val="TableText"/>
            </w:pPr>
            <w:r>
              <w:t xml:space="preserve">src/mpc/mpc_setup_single_interp.m, mpc_update_from_rho.m, Cost_Function.m</w:t>
            </w:r>
          </w:p>
        </w:tc>
        <w:tc>
          <w:tcPr>
            <w:tcW w:w="3006" w:type="dxa"/>
            <w:vAlign w:val="center"/>
          </w:tcPr>
          <w:p>
            <w:pPr>
              <w:pStyle w:val="TableText"/>
            </w:pPr>
            <w:r>
              <w:t xml:space="preserve">构造与更新控制器</w:t>
            </w:r>
          </w:p>
        </w:tc>
      </w:tr>
      <w:tr>
        <w:tc>
          <w:tcPr>
            <w:tcW w:w="3006" w:type="dxa"/>
            <w:vAlign w:val="center"/>
          </w:tcPr>
          <w:p>
            <w:pPr>
              <w:pStyle w:val="TableText"/>
            </w:pPr>
            <w:r>
              <w:t xml:space="preserve">路径生成</w:t>
            </w:r>
          </w:p>
        </w:tc>
        <w:tc>
          <w:tcPr>
            <w:tcW w:w="3006" w:type="dxa"/>
            <w:vAlign w:val="center"/>
          </w:tcPr>
          <w:p>
            <w:pPr>
              <w:pStyle w:val="TableText"/>
            </w:pPr>
            <w:r>
              <w:t xml:space="preserve">src/paths/*.m</w:t>
            </w:r>
          </w:p>
        </w:tc>
        <w:tc>
          <w:tcPr>
            <w:tcW w:w="3006" w:type="dxa"/>
            <w:vAlign w:val="center"/>
          </w:tcPr>
          <w:p>
            <w:pPr>
              <w:pStyle w:val="TableText"/>
            </w:pPr>
            <w:r>
              <w:t xml:space="preserve">训练、展示和评估路径</w:t>
            </w:r>
          </w:p>
        </w:tc>
      </w:tr>
      <w:tr>
        <w:tc>
          <w:tcPr>
            <w:tcW w:w="3006" w:type="dxa"/>
            <w:vAlign w:val="center"/>
          </w:tcPr>
          <w:p>
            <w:pPr>
              <w:pStyle w:val="TableText"/>
            </w:pPr>
            <w:r>
              <w:t xml:space="preserve">ModernTCN</w:t>
            </w:r>
          </w:p>
        </w:tc>
        <w:tc>
          <w:tcPr>
            <w:tcW w:w="3006" w:type="dxa"/>
            <w:vAlign w:val="center"/>
          </w:tcPr>
          <w:p>
            <w:pPr>
              <w:pStyle w:val="TableText"/>
            </w:pPr>
            <w:r>
              <w:t xml:space="preserve">src/ModernTCN/*.py, src/ModernTCN/*.m</w:t>
            </w:r>
          </w:p>
        </w:tc>
        <w:tc>
          <w:tcPr>
            <w:tcW w:w="3006" w:type="dxa"/>
            <w:vAlign w:val="center"/>
          </w:tcPr>
          <w:p>
            <w:pPr>
              <w:pStyle w:val="TableText"/>
            </w:pPr>
            <w:r>
              <w:t xml:space="preserve">训练、导出、MATLAB在线部署</w:t>
            </w:r>
          </w:p>
        </w:tc>
      </w:tr>
      <w:tr>
        <w:tc>
          <w:tcPr>
            <w:tcW w:w="3006" w:type="dxa"/>
            <w:vAlign w:val="center"/>
          </w:tcPr>
          <w:p>
            <w:pPr>
              <w:pStyle w:val="TableText"/>
            </w:pPr>
            <w:r>
              <w:t xml:space="preserve">对照算法</w:t>
            </w:r>
          </w:p>
        </w:tc>
        <w:tc>
          <w:tcPr>
            <w:tcW w:w="3006" w:type="dxa"/>
            <w:vAlign w:val="center"/>
          </w:tcPr>
          <w:p>
            <w:pPr>
              <w:pStyle w:val="TableText"/>
            </w:pPr>
            <w:r>
              <w:t xml:space="preserve">src/gru, src/TCN, src/Compare</w:t>
            </w:r>
          </w:p>
        </w:tc>
        <w:tc>
          <w:tcPr>
            <w:tcW w:w="3006" w:type="dxa"/>
            <w:vAlign w:val="center"/>
          </w:tcPr>
          <w:p>
            <w:pPr>
              <w:pStyle w:val="TableText"/>
            </w:pPr>
            <w:r>
              <w:t xml:space="preserve">GRU/TCN基线和闭环比较</w:t>
            </w:r>
          </w:p>
        </w:tc>
      </w:tr>
      <w:tr>
        <w:tc>
          <w:tcPr>
            <w:tcW w:w="3006" w:type="dxa"/>
            <w:vAlign w:val="center"/>
          </w:tcPr>
          <w:p>
            <w:pPr>
              <w:pStyle w:val="TableText"/>
            </w:pPr>
            <w:r>
              <w:t xml:space="preserve">测试验证</w:t>
            </w:r>
          </w:p>
        </w:tc>
        <w:tc>
          <w:tcPr>
            <w:tcW w:w="3006" w:type="dxa"/>
            <w:vAlign w:val="center"/>
          </w:tcPr>
          <w:p>
            <w:pPr>
              <w:pStyle w:val="TableText"/>
            </w:pPr>
            <w:r>
              <w:t xml:space="preserve">src/tests/*.m</w:t>
            </w:r>
          </w:p>
        </w:tc>
        <w:tc>
          <w:tcPr>
            <w:tcW w:w="3006" w:type="dxa"/>
            <w:vAlign w:val="center"/>
          </w:tcPr>
          <w:p>
            <w:pPr>
              <w:pStyle w:val="TableText"/>
            </w:pPr>
            <w:r>
              <w:t xml:space="preserve">初始化、开环、闭环和性能测试</w:t>
            </w:r>
          </w:p>
        </w:tc>
      </w:tr>
    </w:tbl>
    <w:p>
      <w:pPr>
        <w:pStyle w:val="Heading1"/>
        <w:keepNext/>
      </w:pPr>
      <w:r>
        <w:t xml:space="preserve">附录B 主要输入输出文件清单</w:t>
      </w:r>
    </w:p>
    <w:tbl>
      <w:tblPr>
        <w:tblW w:w="9020" w:type="dxa"/>
        <w:tblBorders>
          <w:top w:val="single" w:sz="4" w:space="0" w:color="9E9E9E"/>
          <w:left w:val="single" w:sz="4" w:space="0" w:color="9E9E9E"/>
          <w:bottom w:val="single" w:sz="4" w:space="0" w:color="9E9E9E"/>
          <w:right w:val="single" w:sz="4" w:space="0" w:color="9E9E9E"/>
          <w:insideH w:val="single" w:sz="4" w:space="0" w:color="C8C8C8"/>
          <w:insideV w:val="single" w:sz="4" w:space="0" w:color="C8C8C8"/>
        </w:tblBorders>
        <w:tblCellMar>
          <w:top w:w="90" w:type="dxa"/>
          <w:left w:w="90" w:type="dxa"/>
          <w:bottom w:w="90" w:type="dxa"/>
          <w:right w:w="90" w:type="dxa"/>
        </w:tblCellMar>
      </w:tblPr>
      <w:tblGrid>
        <w:gridCol w:w="3006"/>
        <w:gridCol w:w="3006"/>
        <w:gridCol w:w="3006"/>
      </w:tblGrid>
      <w:tr>
        <w:trPr>
          <w:tblHeader/>
        </w:trPr>
        <w:tc>
          <w:tcPr>
            <w:tcW w:w="3006" w:type="dxa"/>
            <w:shd w:fill="EAF2F8"/>
            <w:vAlign w:val="center"/>
          </w:tcPr>
          <w:p>
            <w:pPr>
              <w:pStyle w:val="TableText"/>
            </w:pPr>
            <w:r>
              <w:t xml:space="preserve">类型</w:t>
            </w:r>
          </w:p>
        </w:tc>
        <w:tc>
          <w:tcPr>
            <w:tcW w:w="3006" w:type="dxa"/>
            <w:shd w:fill="EAF2F8"/>
            <w:vAlign w:val="center"/>
          </w:tcPr>
          <w:p>
            <w:pPr>
              <w:pStyle w:val="TableText"/>
            </w:pPr>
            <w:r>
              <w:t xml:space="preserve">文件</w:t>
            </w:r>
          </w:p>
        </w:tc>
        <w:tc>
          <w:tcPr>
            <w:tcW w:w="3006" w:type="dxa"/>
            <w:shd w:fill="EAF2F8"/>
            <w:vAlign w:val="center"/>
          </w:tcPr>
          <w:p>
            <w:pPr>
              <w:pStyle w:val="TableText"/>
            </w:pPr>
            <w:r>
              <w:t xml:space="preserve">用途</w:t>
            </w:r>
          </w:p>
        </w:tc>
      </w:tr>
      <w:tr>
        <w:tc>
          <w:tcPr>
            <w:tcW w:w="3006" w:type="dxa"/>
            <w:vAlign w:val="center"/>
          </w:tcPr>
          <w:p>
            <w:pPr>
              <w:pStyle w:val="TableText"/>
            </w:pPr>
            <w:r>
              <w:t xml:space="preserve">数据契约</w:t>
            </w:r>
          </w:p>
        </w:tc>
        <w:tc>
          <w:tcPr>
            <w:tcW w:w="3006" w:type="dxa"/>
            <w:vAlign w:val="center"/>
          </w:tcPr>
          <w:p>
            <w:pPr>
              <w:pStyle w:val="TableText"/>
            </w:pPr>
            <w:r>
              <w:t xml:space="preserve">data/tcn/ModernTCN_dataset_agv_dualsteer_theta10_uniform_conf_h0_v2_contract.json</w:t>
            </w:r>
          </w:p>
        </w:tc>
        <w:tc>
          <w:tcPr>
            <w:tcW w:w="3006" w:type="dxa"/>
            <w:vAlign w:val="center"/>
          </w:tcPr>
          <w:p>
            <w:pPr>
              <w:pStyle w:val="TableText"/>
            </w:pPr>
            <w:r>
              <w:t xml:space="preserve">定义特征、标签、split 和 scaler</w:t>
            </w:r>
          </w:p>
        </w:tc>
      </w:tr>
      <w:tr>
        <w:tc>
          <w:tcPr>
            <w:tcW w:w="3006" w:type="dxa"/>
            <w:vAlign w:val="center"/>
          </w:tcPr>
          <w:p>
            <w:pPr>
              <w:pStyle w:val="TableText"/>
            </w:pPr>
            <w:r>
              <w:t xml:space="preserve">统一数据集</w:t>
            </w:r>
          </w:p>
        </w:tc>
        <w:tc>
          <w:tcPr>
            <w:tcW w:w="3006" w:type="dxa"/>
            <w:vAlign w:val="center"/>
          </w:tcPr>
          <w:p>
            <w:pPr>
              <w:pStyle w:val="TableText"/>
            </w:pPr>
            <w:r>
              <w:t xml:space="preserve">data/tcn/ModernTCN_dataset_agv_dualsteer_theta10_uniform_conf_h0_v2.mat</w:t>
            </w:r>
          </w:p>
        </w:tc>
        <w:tc>
          <w:tcPr>
            <w:tcW w:w="3006" w:type="dxa"/>
            <w:vAlign w:val="center"/>
          </w:tcPr>
          <w:p>
            <w:pPr>
              <w:pStyle w:val="TableText"/>
            </w:pPr>
            <w:r>
              <w:t xml:space="preserve">ModernTCN/GRU/TCN 训练测试</w:t>
            </w:r>
          </w:p>
        </w:tc>
      </w:tr>
      <w:tr>
        <w:tc>
          <w:tcPr>
            <w:tcW w:w="3006" w:type="dxa"/>
            <w:vAlign w:val="center"/>
          </w:tcPr>
          <w:p>
            <w:pPr>
              <w:pStyle w:val="TableText"/>
            </w:pPr>
            <w:r>
              <w:t xml:space="preserve">ONNX模型</w:t>
            </w:r>
          </w:p>
        </w:tc>
        <w:tc>
          <w:tcPr>
            <w:tcW w:w="3006" w:type="dxa"/>
            <w:vAlign w:val="center"/>
          </w:tcPr>
          <w:p>
            <w:pPr>
              <w:pStyle w:val="TableText"/>
            </w:pPr>
            <w:r>
              <w:t xml:space="preserve">results/modern_tcn/modern_tcn_theta10_uniform_h0_v2_seed21/modern_tcn_seed21.onnx</w:t>
            </w:r>
          </w:p>
        </w:tc>
        <w:tc>
          <w:tcPr>
            <w:tcW w:w="3006" w:type="dxa"/>
            <w:vAlign w:val="center"/>
          </w:tcPr>
          <w:p>
            <w:pPr>
              <w:pStyle w:val="TableText"/>
            </w:pPr>
            <w:r>
              <w:t xml:space="preserve">MATLAB/Simulink 部署</w:t>
            </w:r>
          </w:p>
        </w:tc>
      </w:tr>
      <w:tr>
        <w:tc>
          <w:tcPr>
            <w:tcW w:w="3006" w:type="dxa"/>
            <w:vAlign w:val="center"/>
          </w:tcPr>
          <w:p>
            <w:pPr>
              <w:pStyle w:val="TableText"/>
            </w:pPr>
            <w:r>
              <w:t xml:space="preserve">ModernTCN模型</w:t>
            </w:r>
          </w:p>
        </w:tc>
        <w:tc>
          <w:tcPr>
            <w:tcW w:w="3006" w:type="dxa"/>
            <w:vAlign w:val="center"/>
          </w:tcPr>
          <w:p>
            <w:pPr>
              <w:pStyle w:val="TableText"/>
            </w:pPr>
            <w:r>
              <w:t xml:space="preserve">results/modern_tcn/modern_tcn_theta10_uniform_h0_v2_seed21/modern_tcn_seed21.pt</w:t>
            </w:r>
          </w:p>
        </w:tc>
        <w:tc>
          <w:tcPr>
            <w:tcW w:w="3006" w:type="dxa"/>
            <w:vAlign w:val="center"/>
          </w:tcPr>
          <w:p>
            <w:pPr>
              <w:pStyle w:val="TableText"/>
            </w:pPr>
            <w:r>
              <w:t xml:space="preserve">PyTorch checkpoint</w:t>
            </w:r>
          </w:p>
        </w:tc>
      </w:tr>
      <w:tr>
        <w:tc>
          <w:tcPr>
            <w:tcW w:w="3006" w:type="dxa"/>
            <w:vAlign w:val="center"/>
          </w:tcPr>
          <w:p>
            <w:pPr>
              <w:pStyle w:val="TableText"/>
            </w:pPr>
            <w:r>
              <w:t xml:space="preserve">Simulink模型</w:t>
            </w:r>
          </w:p>
        </w:tc>
        <w:tc>
          <w:tcPr>
            <w:tcW w:w="3006" w:type="dxa"/>
            <w:vAlign w:val="center"/>
          </w:tcPr>
          <w:p>
            <w:pPr>
              <w:pStyle w:val="TableText"/>
            </w:pPr>
            <w:r>
              <w:t xml:space="preserve">simulink/LPVMPC_AGV_simulink_Modern_TCN.slx</w:t>
            </w:r>
          </w:p>
        </w:tc>
        <w:tc>
          <w:tcPr>
            <w:tcW w:w="3006" w:type="dxa"/>
            <w:vAlign w:val="center"/>
          </w:tcPr>
          <w:p>
            <w:pPr>
              <w:pStyle w:val="TableText"/>
            </w:pPr>
            <w:r>
              <w:t xml:space="preserve">ModernTCN闭环</w:t>
            </w:r>
          </w:p>
        </w:tc>
      </w:tr>
      <w:tr>
        <w:tc>
          <w:tcPr>
            <w:tcW w:w="3006" w:type="dxa"/>
            <w:vAlign w:val="center"/>
          </w:tcPr>
          <w:p>
            <w:pPr>
              <w:pStyle w:val="TableText"/>
            </w:pPr>
            <w:r>
              <w:t xml:space="preserve">对比结果</w:t>
            </w:r>
          </w:p>
        </w:tc>
        <w:tc>
          <w:tcPr>
            <w:tcW w:w="3006" w:type="dxa"/>
            <w:vAlign w:val="center"/>
          </w:tcPr>
          <w:p>
            <w:pPr>
              <w:pStyle w:val="TableText"/>
            </w:pPr>
            <w:r>
              <w:t xml:space="preserve">results/compare/</w:t>
            </w:r>
          </w:p>
        </w:tc>
        <w:tc>
          <w:tcPr>
            <w:tcW w:w="3006" w:type="dxa"/>
            <w:vAlign w:val="center"/>
          </w:tcPr>
          <w:p>
            <w:pPr>
              <w:pStyle w:val="TableText"/>
            </w:pPr>
            <w:r>
              <w:t xml:space="preserve">闭环指标、鲁棒性和实时性报告</w:t>
            </w:r>
          </w:p>
        </w:tc>
      </w:tr>
    </w:tbl>
    <w:p>
      <w:pPr>
        <w:pStyle w:val="Heading1"/>
        <w:keepNext/>
      </w:pPr>
      <w:r>
        <w:t xml:space="preserve">附录C 关键参数表</w:t>
      </w:r>
    </w:p>
    <w:tbl>
      <w:tblPr>
        <w:tblW w:w="9020" w:type="dxa"/>
        <w:tblBorders>
          <w:top w:val="single" w:sz="4" w:space="0" w:color="9E9E9E"/>
          <w:left w:val="single" w:sz="4" w:space="0" w:color="9E9E9E"/>
          <w:bottom w:val="single" w:sz="4" w:space="0" w:color="9E9E9E"/>
          <w:right w:val="single" w:sz="4" w:space="0" w:color="9E9E9E"/>
          <w:insideH w:val="single" w:sz="4" w:space="0" w:color="C8C8C8"/>
          <w:insideV w:val="single" w:sz="4" w:space="0" w:color="C8C8C8"/>
        </w:tblBorders>
        <w:tblCellMar>
          <w:top w:w="90" w:type="dxa"/>
          <w:left w:w="90" w:type="dxa"/>
          <w:bottom w:w="90" w:type="dxa"/>
          <w:right w:w="90" w:type="dxa"/>
        </w:tblCellMar>
      </w:tblPr>
      <w:tblGrid>
        <w:gridCol w:w="3006"/>
        <w:gridCol w:w="3006"/>
        <w:gridCol w:w="3006"/>
      </w:tblGrid>
      <w:tr>
        <w:trPr>
          <w:tblHeader/>
        </w:trPr>
        <w:tc>
          <w:tcPr>
            <w:tcW w:w="3006" w:type="dxa"/>
            <w:shd w:fill="EAF2F8"/>
            <w:vAlign w:val="center"/>
          </w:tcPr>
          <w:p>
            <w:pPr>
              <w:pStyle w:val="TableText"/>
            </w:pPr>
            <w:r>
              <w:t xml:space="preserve">参数</w:t>
            </w:r>
          </w:p>
        </w:tc>
        <w:tc>
          <w:tcPr>
            <w:tcW w:w="3006" w:type="dxa"/>
            <w:shd w:fill="EAF2F8"/>
            <w:vAlign w:val="center"/>
          </w:tcPr>
          <w:p>
            <w:pPr>
              <w:pStyle w:val="TableText"/>
            </w:pPr>
            <w:r>
              <w:t xml:space="preserve">当前值</w:t>
            </w:r>
          </w:p>
        </w:tc>
        <w:tc>
          <w:tcPr>
            <w:tcW w:w="3006" w:type="dxa"/>
            <w:shd w:fill="EAF2F8"/>
            <w:vAlign w:val="center"/>
          </w:tcPr>
          <w:p>
            <w:pPr>
              <w:pStyle w:val="TableText"/>
            </w:pPr>
            <w:r>
              <w:t xml:space="preserve">说明</w:t>
            </w:r>
          </w:p>
        </w:tc>
      </w:tr>
      <w:tr>
        <w:tc>
          <w:tcPr>
            <w:tcW w:w="3006" w:type="dxa"/>
            <w:vAlign w:val="center"/>
          </w:tcPr>
          <w:p>
            <w:pPr>
              <w:pStyle w:val="TableText"/>
            </w:pPr>
            <w:r>
              <w:t xml:space="preserve">vehicle_type</w:t>
            </w:r>
          </w:p>
        </w:tc>
        <w:tc>
          <w:tcPr>
            <w:tcW w:w="3006" w:type="dxa"/>
            <w:vAlign w:val="center"/>
          </w:tcPr>
          <w:p>
            <w:pPr>
              <w:pStyle w:val="TableText"/>
            </w:pPr>
            <w:r>
              <w:t xml:space="preserve">diagonal_dual_steer_drive_agv</w:t>
            </w:r>
          </w:p>
        </w:tc>
        <w:tc>
          <w:tcPr>
            <w:tcW w:w="3006" w:type="dxa"/>
            <w:vAlign w:val="center"/>
          </w:tcPr>
          <w:p>
            <w:pPr>
              <w:pStyle w:val="TableText"/>
            </w:pPr>
            <w:r>
              <w:t xml:space="preserve">对角双转向驱动AGV</w:t>
            </w:r>
          </w:p>
        </w:tc>
      </w:tr>
      <w:tr>
        <w:tc>
          <w:tcPr>
            <w:tcW w:w="3006" w:type="dxa"/>
            <w:vAlign w:val="center"/>
          </w:tcPr>
          <w:p>
            <w:pPr>
              <w:pStyle w:val="TableText"/>
            </w:pPr>
            <w:r>
              <w:t xml:space="preserve">active_drive_steer_wheels</w:t>
            </w:r>
          </w:p>
        </w:tc>
        <w:tc>
          <w:tcPr>
            <w:tcW w:w="3006" w:type="dxa"/>
            <w:vAlign w:val="center"/>
          </w:tcPr>
          <w:p>
            <w:pPr>
              <w:pStyle w:val="TableText"/>
            </w:pPr>
            <w:r>
              <w:t xml:space="preserve">LF, RR</w:t>
            </w:r>
          </w:p>
        </w:tc>
        <w:tc>
          <w:tcPr>
            <w:tcW w:w="3006" w:type="dxa"/>
            <w:vAlign w:val="center"/>
          </w:tcPr>
          <w:p>
            <w:pPr>
              <w:pStyle w:val="TableText"/>
            </w:pPr>
            <w:r>
              <w:t xml:space="preserve">主动驱动/转向轮</w:t>
            </w:r>
          </w:p>
        </w:tc>
      </w:tr>
      <w:tr>
        <w:tc>
          <w:tcPr>
            <w:tcW w:w="3006" w:type="dxa"/>
            <w:vAlign w:val="center"/>
          </w:tcPr>
          <w:p>
            <w:pPr>
              <w:pStyle w:val="TableText"/>
            </w:pPr>
            <w:r>
              <w:t xml:space="preserve">passive_support_wheels</w:t>
            </w:r>
          </w:p>
        </w:tc>
        <w:tc>
          <w:tcPr>
            <w:tcW w:w="3006" w:type="dxa"/>
            <w:vAlign w:val="center"/>
          </w:tcPr>
          <w:p>
            <w:pPr>
              <w:pStyle w:val="TableText"/>
            </w:pPr>
            <w:r>
              <w:t xml:space="preserve">RF, LR</w:t>
            </w:r>
          </w:p>
        </w:tc>
        <w:tc>
          <w:tcPr>
            <w:tcW w:w="3006" w:type="dxa"/>
            <w:vAlign w:val="center"/>
          </w:tcPr>
          <w:p>
            <w:pPr>
              <w:pStyle w:val="TableText"/>
            </w:pPr>
            <w:r>
              <w:t xml:space="preserve">被动支撑轮</w:t>
            </w:r>
          </w:p>
        </w:tc>
      </w:tr>
      <w:tr>
        <w:tc>
          <w:tcPr>
            <w:tcW w:w="3006" w:type="dxa"/>
            <w:vAlign w:val="center"/>
          </w:tcPr>
          <w:p>
            <w:pPr>
              <w:pStyle w:val="TableText"/>
            </w:pPr>
            <w:r>
              <w:t xml:space="preserve">Ts</w:t>
            </w:r>
          </w:p>
        </w:tc>
        <w:tc>
          <w:tcPr>
            <w:tcW w:w="3006" w:type="dxa"/>
            <w:vAlign w:val="center"/>
          </w:tcPr>
          <w:p>
            <w:pPr>
              <w:pStyle w:val="TableText"/>
            </w:pPr>
            <w:r>
              <w:t xml:space="preserve">0.01 s</w:t>
            </w:r>
          </w:p>
        </w:tc>
        <w:tc>
          <w:tcPr>
            <w:tcW w:w="3006" w:type="dxa"/>
            <w:vAlign w:val="center"/>
          </w:tcPr>
          <w:p>
            <w:pPr>
              <w:pStyle w:val="TableText"/>
            </w:pPr>
            <w:r>
              <w:t xml:space="preserve">控制采样周期</w:t>
            </w:r>
          </w:p>
        </w:tc>
      </w:tr>
      <w:tr>
        <w:tc>
          <w:tcPr>
            <w:tcW w:w="3006" w:type="dxa"/>
            <w:vAlign w:val="center"/>
          </w:tcPr>
          <w:p>
            <w:pPr>
              <w:pStyle w:val="TableText"/>
            </w:pPr>
            <w:r>
              <w:t xml:space="preserve">seq_len</w:t>
            </w:r>
          </w:p>
        </w:tc>
        <w:tc>
          <w:tcPr>
            <w:tcW w:w="3006" w:type="dxa"/>
            <w:vAlign w:val="center"/>
          </w:tcPr>
          <w:p>
            <w:pPr>
              <w:pStyle w:val="TableText"/>
            </w:pPr>
            <w:r>
              <w:t xml:space="preserve">128</w:t>
            </w:r>
          </w:p>
        </w:tc>
        <w:tc>
          <w:tcPr>
            <w:tcW w:w="3006" w:type="dxa"/>
            <w:vAlign w:val="center"/>
          </w:tcPr>
          <w:p>
            <w:pPr>
              <w:pStyle w:val="TableText"/>
            </w:pPr>
            <w:r>
              <w:t xml:space="preserve">输入窗口长度</w:t>
            </w:r>
          </w:p>
        </w:tc>
      </w:tr>
      <w:tr>
        <w:tc>
          <w:tcPr>
            <w:tcW w:w="3006" w:type="dxa"/>
            <w:vAlign w:val="center"/>
          </w:tcPr>
          <w:p>
            <w:pPr>
              <w:pStyle w:val="TableText"/>
            </w:pPr>
            <w:r>
              <w:t xml:space="preserve">input_dim</w:t>
            </w:r>
          </w:p>
        </w:tc>
        <w:tc>
          <w:tcPr>
            <w:tcW w:w="3006" w:type="dxa"/>
            <w:vAlign w:val="center"/>
          </w:tcPr>
          <w:p>
            <w:pPr>
              <w:pStyle w:val="TableText"/>
            </w:pPr>
            <w:r>
              <w:t xml:space="preserve">19</w:t>
            </w:r>
          </w:p>
        </w:tc>
        <w:tc>
          <w:tcPr>
            <w:tcW w:w="3006" w:type="dxa"/>
            <w:vAlign w:val="center"/>
          </w:tcPr>
          <w:p>
            <w:pPr>
              <w:pStyle w:val="TableText"/>
            </w:pPr>
            <w:r>
              <w:t xml:space="preserve">输入特征维度</w:t>
            </w:r>
          </w:p>
        </w:tc>
      </w:tr>
      <w:tr>
        <w:tc>
          <w:tcPr>
            <w:tcW w:w="3006" w:type="dxa"/>
            <w:vAlign w:val="center"/>
          </w:tcPr>
          <w:p>
            <w:pPr>
              <w:pStyle w:val="TableText"/>
            </w:pPr>
            <w:r>
              <w:t xml:space="preserve">run_tag</w:t>
            </w:r>
          </w:p>
        </w:tc>
        <w:tc>
          <w:tcPr>
            <w:tcW w:w="3006" w:type="dxa"/>
            <w:vAlign w:val="center"/>
          </w:tcPr>
          <w:p>
            <w:pPr>
              <w:pStyle w:val="TableText"/>
            </w:pPr>
            <w:r>
              <w:t xml:space="preserve">modern_tcn_theta10_uniform_h0_v2_seed21</w:t>
            </w:r>
          </w:p>
        </w:tc>
        <w:tc>
          <w:tcPr>
            <w:tcW w:w="3006" w:type="dxa"/>
            <w:vAlign w:val="center"/>
          </w:tcPr>
          <w:p>
            <w:pPr>
              <w:pStyle w:val="TableText"/>
            </w:pPr>
            <w:r>
              <w:t xml:space="preserve">默认部署模型标签</w:t>
            </w:r>
          </w:p>
        </w:tc>
      </w:tr>
      <w:tr>
        <w:tc>
          <w:tcPr>
            <w:tcW w:w="3006" w:type="dxa"/>
            <w:vAlign w:val="center"/>
          </w:tcPr>
          <w:p>
            <w:pPr>
              <w:pStyle w:val="TableText"/>
            </w:pPr>
            <w:r>
              <w:t xml:space="preserve">channels</w:t>
            </w:r>
          </w:p>
        </w:tc>
        <w:tc>
          <w:tcPr>
            <w:tcW w:w="3006" w:type="dxa"/>
            <w:vAlign w:val="center"/>
          </w:tcPr>
          <w:p>
            <w:pPr>
              <w:pStyle w:val="TableText"/>
            </w:pPr>
            <w:r>
              <w:t xml:space="preserve">64</w:t>
            </w:r>
          </w:p>
        </w:tc>
        <w:tc>
          <w:tcPr>
            <w:tcW w:w="3006" w:type="dxa"/>
            <w:vAlign w:val="center"/>
          </w:tcPr>
          <w:p>
            <w:pPr>
              <w:pStyle w:val="TableText"/>
            </w:pPr>
            <w:r>
              <w:t xml:space="preserve">ModernTCN通道数</w:t>
            </w:r>
          </w:p>
        </w:tc>
      </w:tr>
      <w:tr>
        <w:tc>
          <w:tcPr>
            <w:tcW w:w="3006" w:type="dxa"/>
            <w:vAlign w:val="center"/>
          </w:tcPr>
          <w:p>
            <w:pPr>
              <w:pStyle w:val="TableText"/>
            </w:pPr>
            <w:r>
              <w:t xml:space="preserve">blocks</w:t>
            </w:r>
          </w:p>
        </w:tc>
        <w:tc>
          <w:tcPr>
            <w:tcW w:w="3006" w:type="dxa"/>
            <w:vAlign w:val="center"/>
          </w:tcPr>
          <w:p>
            <w:pPr>
              <w:pStyle w:val="TableText"/>
            </w:pPr>
            <w:r>
              <w:t xml:space="preserve">5</w:t>
            </w:r>
          </w:p>
        </w:tc>
        <w:tc>
          <w:tcPr>
            <w:tcW w:w="3006" w:type="dxa"/>
            <w:vAlign w:val="center"/>
          </w:tcPr>
          <w:p>
            <w:pPr>
              <w:pStyle w:val="TableText"/>
            </w:pPr>
            <w:r>
              <w:t xml:space="preserve">ModernTCN残差块数</w:t>
            </w:r>
          </w:p>
        </w:tc>
      </w:tr>
      <w:tr>
        <w:tc>
          <w:tcPr>
            <w:tcW w:w="3006" w:type="dxa"/>
            <w:vAlign w:val="center"/>
          </w:tcPr>
          <w:p>
            <w:pPr>
              <w:pStyle w:val="TableText"/>
            </w:pPr>
            <w:r>
              <w:t xml:space="preserve">kernel_size</w:t>
            </w:r>
          </w:p>
        </w:tc>
        <w:tc>
          <w:tcPr>
            <w:tcW w:w="3006" w:type="dxa"/>
            <w:vAlign w:val="center"/>
          </w:tcPr>
          <w:p>
            <w:pPr>
              <w:pStyle w:val="TableText"/>
            </w:pPr>
            <w:r>
              <w:t xml:space="preserve">31</w:t>
            </w:r>
          </w:p>
        </w:tc>
        <w:tc>
          <w:tcPr>
            <w:tcW w:w="3006" w:type="dxa"/>
            <w:vAlign w:val="center"/>
          </w:tcPr>
          <w:p>
            <w:pPr>
              <w:pStyle w:val="TableText"/>
            </w:pPr>
            <w:r>
              <w:t xml:space="preserve">大核时序卷积核</w:t>
            </w:r>
          </w:p>
        </w:tc>
      </w:tr>
      <w:tr>
        <w:tc>
          <w:tcPr>
            <w:tcW w:w="3006" w:type="dxa"/>
            <w:vAlign w:val="center"/>
          </w:tcPr>
          <w:p>
            <w:pPr>
              <w:pStyle w:val="TableText"/>
            </w:pPr>
            <w:r>
              <w:t xml:space="preserve">temporal_padding</w:t>
            </w:r>
          </w:p>
        </w:tc>
        <w:tc>
          <w:tcPr>
            <w:tcW w:w="3006" w:type="dxa"/>
            <w:vAlign w:val="center"/>
          </w:tcPr>
          <w:p>
            <w:pPr>
              <w:pStyle w:val="TableText"/>
            </w:pPr>
            <w:r>
              <w:t xml:space="preserve">same</w:t>
            </w:r>
          </w:p>
        </w:tc>
        <w:tc>
          <w:tcPr>
            <w:tcW w:w="3006" w:type="dxa"/>
            <w:vAlign w:val="center"/>
          </w:tcPr>
          <w:p>
            <w:pPr>
              <w:pStyle w:val="TableText"/>
            </w:pPr>
            <w:r>
              <w:t xml:space="preserve">默认时序填充方式</w:t>
            </w:r>
          </w:p>
        </w:tc>
      </w:tr>
      <w:tr>
        <w:tc>
          <w:tcPr>
            <w:tcW w:w="3006" w:type="dxa"/>
            <w:vAlign w:val="center"/>
          </w:tcPr>
          <w:p>
            <w:pPr>
              <w:pStyle w:val="TableText"/>
            </w:pPr>
            <w:r>
              <w:t xml:space="preserve">dropout</w:t>
            </w:r>
          </w:p>
        </w:tc>
        <w:tc>
          <w:tcPr>
            <w:tcW w:w="3006" w:type="dxa"/>
            <w:vAlign w:val="center"/>
          </w:tcPr>
          <w:p>
            <w:pPr>
              <w:pStyle w:val="TableText"/>
            </w:pPr>
            <w:r>
              <w:t xml:space="preserve">0.15</w:t>
            </w:r>
          </w:p>
        </w:tc>
        <w:tc>
          <w:tcPr>
            <w:tcW w:w="3006" w:type="dxa"/>
            <w:vAlign w:val="center"/>
          </w:tcPr>
          <w:p>
            <w:pPr>
              <w:pStyle w:val="TableText"/>
            </w:pPr>
            <w:r>
              <w:t xml:space="preserve">dropout比例</w:t>
            </w:r>
          </w:p>
        </w:tc>
      </w:tr>
      <w:tr>
        <w:tc>
          <w:tcPr>
            <w:tcW w:w="3006" w:type="dxa"/>
            <w:vAlign w:val="center"/>
          </w:tcPr>
          <w:p>
            <w:pPr>
              <w:pStyle w:val="TableText"/>
            </w:pPr>
            <w:r>
              <w:t xml:space="preserve">expansion</w:t>
            </w:r>
          </w:p>
        </w:tc>
        <w:tc>
          <w:tcPr>
            <w:tcW w:w="3006" w:type="dxa"/>
            <w:vAlign w:val="center"/>
          </w:tcPr>
          <w:p>
            <w:pPr>
              <w:pStyle w:val="TableText"/>
            </w:pPr>
            <w:r>
              <w:t xml:space="preserve">2</w:t>
            </w:r>
          </w:p>
        </w:tc>
        <w:tc>
          <w:tcPr>
            <w:tcW w:w="3006" w:type="dxa"/>
            <w:vAlign w:val="center"/>
          </w:tcPr>
          <w:p>
            <w:pPr>
              <w:pStyle w:val="TableText"/>
            </w:pPr>
            <w:r>
              <w:t xml:space="preserve">通道扩展倍率</w:t>
            </w:r>
          </w:p>
        </w:tc>
      </w:tr>
    </w:tbl>
    <w:p>
      <w:pPr>
        <w:pStyle w:val="Heading1"/>
        <w:keepNext/>
      </w:pPr>
      <w:r>
        <w:t xml:space="preserve">附录D 术语表</w:t>
      </w:r>
    </w:p>
    <w:tbl>
      <w:tblPr>
        <w:tblW w:w="9020" w:type="dxa"/>
        <w:tblBorders>
          <w:top w:val="single" w:sz="4" w:space="0" w:color="9E9E9E"/>
          <w:left w:val="single" w:sz="4" w:space="0" w:color="9E9E9E"/>
          <w:bottom w:val="single" w:sz="4" w:space="0" w:color="9E9E9E"/>
          <w:right w:val="single" w:sz="4" w:space="0" w:color="9E9E9E"/>
          <w:insideH w:val="single" w:sz="4" w:space="0" w:color="C8C8C8"/>
          <w:insideV w:val="single" w:sz="4" w:space="0" w:color="C8C8C8"/>
        </w:tblBorders>
        <w:tblCellMar>
          <w:top w:w="90" w:type="dxa"/>
          <w:left w:w="90" w:type="dxa"/>
          <w:bottom w:w="90" w:type="dxa"/>
          <w:right w:w="90" w:type="dxa"/>
        </w:tblCellMar>
      </w:tblPr>
      <w:tblGrid>
        <w:gridCol w:w="4510"/>
        <w:gridCol w:w="4510"/>
      </w:tblGrid>
      <w:tr>
        <w:trPr>
          <w:tblHeader/>
        </w:trPr>
        <w:tc>
          <w:tcPr>
            <w:tcW w:w="4510" w:type="dxa"/>
            <w:shd w:fill="EAF2F8"/>
            <w:vAlign w:val="center"/>
          </w:tcPr>
          <w:p>
            <w:pPr>
              <w:pStyle w:val="TableText"/>
            </w:pPr>
            <w:r>
              <w:t xml:space="preserve">术语</w:t>
            </w:r>
          </w:p>
        </w:tc>
        <w:tc>
          <w:tcPr>
            <w:tcW w:w="4510" w:type="dxa"/>
            <w:shd w:fill="EAF2F8"/>
            <w:vAlign w:val="center"/>
          </w:tcPr>
          <w:p>
            <w:pPr>
              <w:pStyle w:val="TableText"/>
            </w:pPr>
            <w:r>
              <w:t xml:space="preserve">含义</w:t>
            </w:r>
          </w:p>
        </w:tc>
      </w:tr>
      <w:tr>
        <w:tc>
          <w:tcPr>
            <w:tcW w:w="4510" w:type="dxa"/>
            <w:vAlign w:val="center"/>
          </w:tcPr>
          <w:p>
            <w:pPr>
              <w:pStyle w:val="TableText"/>
            </w:pPr>
            <w:r>
              <w:t xml:space="preserve">AGV</w:t>
            </w:r>
          </w:p>
        </w:tc>
        <w:tc>
          <w:tcPr>
            <w:tcW w:w="4510" w:type="dxa"/>
            <w:vAlign w:val="center"/>
          </w:tcPr>
          <w:p>
            <w:pPr>
              <w:pStyle w:val="TableText"/>
            </w:pPr>
            <w:r>
              <w:t xml:space="preserve">Automated Guided Vehicle，自动导引车</w:t>
            </w:r>
          </w:p>
        </w:tc>
      </w:tr>
      <w:tr>
        <w:tc>
          <w:tcPr>
            <w:tcW w:w="4510" w:type="dxa"/>
            <w:vAlign w:val="center"/>
          </w:tcPr>
          <w:p>
            <w:pPr>
              <w:pStyle w:val="TableText"/>
            </w:pPr>
            <w:r>
              <w:t xml:space="preserve">LPV</w:t>
            </w:r>
          </w:p>
        </w:tc>
        <w:tc>
          <w:tcPr>
            <w:tcW w:w="4510" w:type="dxa"/>
            <w:vAlign w:val="center"/>
          </w:tcPr>
          <w:p>
            <w:pPr>
              <w:pStyle w:val="TableText"/>
            </w:pPr>
            <w:r>
              <w:t xml:space="preserve">Linear Parameter-Varying，线性参数变化模型</w:t>
            </w:r>
          </w:p>
        </w:tc>
      </w:tr>
      <w:tr>
        <w:tc>
          <w:tcPr>
            <w:tcW w:w="4510" w:type="dxa"/>
            <w:vAlign w:val="center"/>
          </w:tcPr>
          <w:p>
            <w:pPr>
              <w:pStyle w:val="TableText"/>
            </w:pPr>
            <w:r>
              <w:t xml:space="preserve">MPC</w:t>
            </w:r>
          </w:p>
        </w:tc>
        <w:tc>
          <w:tcPr>
            <w:tcW w:w="4510" w:type="dxa"/>
            <w:vAlign w:val="center"/>
          </w:tcPr>
          <w:p>
            <w:pPr>
              <w:pStyle w:val="TableText"/>
            </w:pPr>
            <w:r>
              <w:t xml:space="preserve">Model Predictive Control，模型预测控制</w:t>
            </w:r>
          </w:p>
        </w:tc>
      </w:tr>
      <w:tr>
        <w:tc>
          <w:tcPr>
            <w:tcW w:w="4510" w:type="dxa"/>
            <w:vAlign w:val="center"/>
          </w:tcPr>
          <w:p>
            <w:pPr>
              <w:pStyle w:val="TableText"/>
            </w:pPr>
            <w:r>
              <w:t xml:space="preserve">ModernTCN</w:t>
            </w:r>
          </w:p>
        </w:tc>
        <w:tc>
          <w:tcPr>
            <w:tcW w:w="4510" w:type="dxa"/>
            <w:vAlign w:val="center"/>
          </w:tcPr>
          <w:p>
            <w:pPr>
              <w:pStyle w:val="TableText"/>
            </w:pPr>
            <w:r>
              <w:t xml:space="preserve">本软件使用的大核时序卷积多任务感知模型</w:t>
            </w:r>
          </w:p>
        </w:tc>
      </w:tr>
      <w:tr>
        <w:tc>
          <w:tcPr>
            <w:tcW w:w="4510" w:type="dxa"/>
            <w:vAlign w:val="center"/>
          </w:tcPr>
          <w:p>
            <w:pPr>
              <w:pStyle w:val="TableText"/>
            </w:pPr>
            <w:r>
              <w:t xml:space="preserve">ONNX</w:t>
            </w:r>
          </w:p>
        </w:tc>
        <w:tc>
          <w:tcPr>
            <w:tcW w:w="4510" w:type="dxa"/>
            <w:vAlign w:val="center"/>
          </w:tcPr>
          <w:p>
            <w:pPr>
              <w:pStyle w:val="TableText"/>
            </w:pPr>
            <w:r>
              <w:t xml:space="preserve">Open Neural Network Exchange，跨框架模型交换格式</w:t>
            </w:r>
          </w:p>
        </w:tc>
      </w:tr>
      <w:tr>
        <w:tc>
          <w:tcPr>
            <w:tcW w:w="4510" w:type="dxa"/>
            <w:vAlign w:val="center"/>
          </w:tcPr>
          <w:p>
            <w:pPr>
              <w:pStyle w:val="TableText"/>
            </w:pPr>
            <w:r>
              <w:t xml:space="preserve">scaler</w:t>
            </w:r>
          </w:p>
        </w:tc>
        <w:tc>
          <w:tcPr>
            <w:tcW w:w="4510" w:type="dxa"/>
            <w:vAlign w:val="center"/>
          </w:tcPr>
          <w:p>
            <w:pPr>
              <w:pStyle w:val="TableText"/>
            </w:pPr>
            <w:r>
              <w:t xml:space="preserve">训练集拟合、验证/测试/在线应用的归一化参数</w:t>
            </w:r>
          </w:p>
        </w:tc>
      </w:tr>
      <w:tr>
        <w:tc>
          <w:tcPr>
            <w:tcW w:w="4510" w:type="dxa"/>
            <w:vAlign w:val="center"/>
          </w:tcPr>
          <w:p>
            <w:pPr>
              <w:pStyle w:val="TableText"/>
            </w:pPr>
            <w:r>
              <w:t xml:space="preserve">logits</w:t>
            </w:r>
          </w:p>
        </w:tc>
        <w:tc>
          <w:tcPr>
            <w:tcW w:w="4510" w:type="dxa"/>
            <w:vAlign w:val="center"/>
          </w:tcPr>
          <w:p>
            <w:pPr>
              <w:pStyle w:val="TableText"/>
            </w:pPr>
            <w:r>
              <w:t xml:space="preserve">分类模型 softmax 前的输出</w:t>
            </w:r>
          </w:p>
        </w:tc>
      </w:tr>
      <w:tr>
        <w:tc>
          <w:tcPr>
            <w:tcW w:w="4510" w:type="dxa"/>
            <w:vAlign w:val="center"/>
          </w:tcPr>
          <w:p>
            <w:pPr>
              <w:pStyle w:val="TableText"/>
            </w:pPr>
            <w:r>
              <w:t xml:space="preserve">theta_hat</w:t>
            </w:r>
          </w:p>
        </w:tc>
        <w:tc>
          <w:tcPr>
            <w:tcW w:w="4510" w:type="dxa"/>
            <w:vAlign w:val="center"/>
          </w:tcPr>
          <w:p>
            <w:pPr>
              <w:pStyle w:val="TableText"/>
            </w:pPr>
            <w:r>
              <w:t xml:space="preserve">坡度或调度量回归输出</w:t>
            </w:r>
          </w:p>
        </w:tc>
      </w:tr>
    </w:tbl>
    <w:sectPr>
      <w:headerReference w:type="default" r:id="rIdHeader1"/>
      <w:footerReference w:type="default" r:id="rIdFooter1"/>
      <w:pgSz w:w="11906" w:h="16838"/>
      <w:pgMar w:top="1134" w:right="1020" w:bottom="1134" w:left="1134" w:header="560" w:footer="560" w:gutter="0"/>
      <w:cols w:space="720"/>
      <w:docGrid w:linePitch="312"/>
    </w:sectPr>
  </w:body>
</w:document>
</file>

<file path=word/footer1.xml><?xml version="1.0" encoding="utf-8"?>
<w:ftr xmlns:w="http://schemas.openxmlformats.org/wordprocessingml/2006/main">
  <w:p>
    <w:pPr>
      <w:jc w:val="center"/>
      <w:pBdr>
        <w:top w:val="single" w:sz="6" w:space="2" w:color="808080"/>
      </w:pBdr>
      <w:spacing w:before="60"/>
    </w:pPr>
    <w:r>
      <w:t/>
    </w:r>
  </w:p>
</w:ftr>
</file>

<file path=word/header1.xml><?xml version="1.0" encoding="utf-8"?>
<w:hdr xmlns:w="http://schemas.openxmlformats.org/wordprocessingml/2006/main">
  <w:p>
    <w:pPr>
      <w:tabs>
        <w:tab w:val="right" w:pos="10000"/>
      </w:tabs>
      <w:pBdr>
        <w:bottom w:val="single" w:sz="6" w:space="2" w:color="808080"/>
      </w:pBdr>
      <w:spacing w:after="60"/>
    </w:pPr>
    <w:r>
      <w:rPr>
        <w:rFonts w:ascii="Arial" w:hAnsi="Arial" w:eastAsia="SimSun"/>
        <w:sz w:val="18"/>
      </w:rPr>
      <w:t>AGV 工况感知与 LPV-MPC 闭环控制仿真软件</w:t>
    </w:r>
    <w:r>
      <w:tab/>
    </w:r>
    <w:r>
      <w:rPr>
        <w:rFonts w:ascii="Arial" w:hAnsi="Arial" w:eastAsia="SimSun"/>
        <w:sz w:val="18"/>
      </w:rPr>
      <w:t>第 </w:t>
    </w:r>
    <w:r>
      <w:fldChar w:fldCharType="begin"/>
    </w:r>
    <w:r>
      <w:instrText xml:space="preserve"> PAGE </w:instrText>
    </w:r>
    <w:r>
      <w:fldChar w:fldCharType="separate"/>
    </w:r>
    <w:r>
      <w:t>1</w:t>
    </w:r>
    <w:r>
      <w:fldChar w:fldCharType="end"/>
    </w:r>
    <w:r>
      <w:rPr>
        <w:rFonts w:ascii="Arial" w:hAnsi="Arial" w:eastAsia="SimSun"/>
        <w:sz w:val="18"/>
      </w:rPr>
      <w:t> 页 共 </w:t>
    </w:r>
    <w:r>
      <w:fldChar w:fldCharType="begin"/>
    </w:r>
    <w:r>
      <w:instrText xml:space="preserve"> NUMPAGES </w:instrText>
    </w:r>
    <w:r>
      <w:fldChar w:fldCharType="separate"/>
    </w:r>
    <w:r>
      <w:t>1</w:t>
    </w:r>
    <w:r>
      <w:fldChar w:fldCharType="end"/>
    </w:r>
    <w:r>
      <w:rPr>
        <w:rFonts w:ascii="Arial" w:hAnsi="Arial" w:eastAsia="SimSun"/>
        <w:sz w:val="18"/>
      </w:rPr>
      <w:t> 页</w:t>
    </w:r>
  </w:p>
</w:hdr>
</file>

<file path=word/settings.xml><?xml version="1.0" encoding="utf-8"?>
<w:settings xmlns:w="http://schemas.openxmlformats.org/wordprocessingml/2006/main">
  <w:updateFields w:val="true"/>
  <w:defaultTabStop w:val="420"/>
</w:settings>
</file>

<file path=word/styles.xml><?xml version="1.0" encoding="utf-8"?>
<w:styles xmlns:w="http://schemas.openxmlformats.org/wordprocessingml/2006/main">
  <w:docDefaults>
    <w:rPrDefault>
      <w:rPr>
        <w:rFonts w:ascii="Arial" w:hAnsi="Arial" w:eastAsia="SimSun"/>
        <w:sz w:val="21"/>
      </w:rPr>
    </w:rPrDefault>
    <w:pPrDefault>
      <w:pPr>
        <w:spacing w:before="0" w:after="80" w:line="360" w:lineRule="auto"/>
      </w:pPr>
    </w:pPrDefault>
  </w:docDefaults>
  <w:style w:type="paragraph" w:default="1" w:styleId="Normal">
    <w:name w:val="Normal"/>
    <w:qFormat/>
    <w:pPr>
      <w:spacing w:before="0" w:after="80" w:line="360" w:lineRule="auto"/>
    </w:pPr>
    <w:rPr>
      <w:rFonts w:ascii="Arial" w:hAnsi="Arial" w:eastAsia="SimSun"/>
      <w:sz w:val="21"/>
    </w:rPr>
  </w:style>
  <w:style w:type="paragraph" w:styleId="Title">
    <w:name w:val="Title"/>
    <w:basedOn w:val="Normal"/>
    <w:qFormat/>
    <w:pPr>
      <w:jc w:val="center"/>
      <w:spacing w:before="240" w:after="180"/>
    </w:pPr>
    <w:rPr>
      <w:rFonts w:ascii="Arial" w:hAnsi="Arial" w:eastAsia="SimHei"/>
      <w:b/>
      <w:sz w:val="36"/>
      <w:color w:val="1F4E79"/>
    </w:rPr>
  </w:style>
  <w:style w:type="paragraph" w:styleId="Heading1">
    <w:name w:val="heading 1"/>
    <w:basedOn w:val="Normal"/>
    <w:qFormat/>
    <w:pPr>
      <w:keepNext/>
      <w:spacing w:before="220" w:after="120"/>
    </w:pPr>
    <w:rPr>
      <w:rFonts w:ascii="Arial" w:hAnsi="Arial" w:eastAsia="SimHei"/>
      <w:b/>
      <w:sz w:val="30"/>
      <w:color w:val="1F4E79"/>
    </w:rPr>
  </w:style>
  <w:style w:type="paragraph" w:styleId="Heading2">
    <w:name w:val="heading 2"/>
    <w:basedOn w:val="Normal"/>
    <w:qFormat/>
    <w:pPr>
      <w:keepNext/>
      <w:spacing w:before="160" w:after="80"/>
    </w:pPr>
    <w:rPr>
      <w:rFonts w:ascii="Arial" w:hAnsi="Arial" w:eastAsia="SimHei"/>
      <w:b/>
      <w:sz w:val="25"/>
      <w:color w:val="365F91"/>
    </w:rPr>
  </w:style>
  <w:style w:type="paragraph" w:styleId="Heading3">
    <w:name w:val="heading 3"/>
    <w:basedOn w:val="Normal"/>
    <w:qFormat/>
    <w:pPr>
      <w:keepNext/>
      <w:spacing w:before="120" w:after="60"/>
    </w:pPr>
    <w:rPr>
      <w:rFonts w:ascii="Arial" w:hAnsi="Arial" w:eastAsia="SimHei"/>
      <w:b/>
      <w:sz w:val="22"/>
      <w:color w:val="3F3F3F"/>
    </w:rPr>
  </w:style>
  <w:style w:type="paragraph" w:styleId="CodeBlock">
    <w:name w:val="Code Block"/>
    <w:basedOn w:val="Normal"/>
    <w:pPr>
      <w:spacing w:before="0" w:after="20" w:line="240" w:lineRule="exact"/>
    </w:pPr>
    <w:rPr>
      <w:rFonts w:ascii="Consolas" w:hAnsi="Consolas" w:eastAsia="Consolas"/>
      <w:sz w:val="18"/>
    </w:rPr>
  </w:style>
  <w:style w:type="paragraph" w:styleId="CodeLine">
    <w:name w:val="Code Line"/>
    <w:basedOn w:val="Normal"/>
    <w:pPr>
      <w:spacing w:before="0" w:after="0" w:line="230" w:lineRule="exact"/>
    </w:pPr>
    <w:rPr>
      <w:rFonts w:ascii="Consolas" w:hAnsi="Consolas" w:eastAsia="Consolas"/>
      <w:sz w:val="18"/>
    </w:rPr>
  </w:style>
  <w:style w:type="paragraph" w:styleId="TableText">
    <w:name w:val="Table Text"/>
    <w:basedOn w:val="Normal"/>
    <w:pPr>
      <w:spacing w:before="0" w:after="0" w:line="260" w:lineRule="auto"/>
    </w:pPr>
    <w:rPr>
      <w:rFonts w:ascii="Arial" w:hAnsi="Arial" w:eastAsia="SimSun"/>
      <w:sz w:val="19"/>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Header1" Type="http://schemas.openxmlformats.org/officeDocument/2006/relationships/header" Target="header1.xml"/>
  <Relationship Id="rIdFooter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Codex OOXML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ModernTCN_AGV_LPVMPC_V1_软件设计说明书</dc:title>
  <dc:creator>Codex</dc:creator>
  <cp:lastModifiedBy>Codex</cp:lastModifiedBy>
  <dcterms:created xsi:type="dcterms:W3CDTF">2026-05-25T00:00:00Z</dcterms:created>
  <dcterms:modified xsi:type="dcterms:W3CDTF">2026-05-25T00:00:00Z</dcterms:modified>
</cp:coreProperties>
</file>