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color w:val="000000"/>
          <w:sz w:val="36"/>
        </w:rPr>
        <w:t>基于 ModernTCN 的 AGV 工况感知与坡度调度软件 V1.0 软件设计说明书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软件全称：基于 ModernTCN 的 AGV 工况感知与坡度调度软件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软件简称：ModernTCN-AGV 感知调度软件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版本号：V1.0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生成日期：2026-05-25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编制说明：本文档根据当前仓库源码、数据契约、项目流程清单和默认部署配置生成，用于软件著作权登记辅助材料。申请人应在提交前确认软件名称、著作权人、开发完成日期、首次发表日期和权属证明。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版本</w:t>
            </w:r>
          </w:p>
        </w:tc>
        <w:tc>
          <w:tcPr>
            <w:tcW w:type="dxa" w:w="2422"/>
            <w:shd w:val="clear" w:color="auto"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日期</w:t>
            </w:r>
          </w:p>
        </w:tc>
        <w:tc>
          <w:tcPr>
            <w:tcW w:type="dxa" w:w="2422"/>
            <w:shd w:val="clear" w:color="auto"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  <w:tc>
          <w:tcPr>
            <w:tcW w:type="dxa" w:w="2422"/>
            <w:shd w:val="clear" w:color="auto"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责任人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V1.0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2026-05-25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根据当前项目生成软著申请辅助设计说明书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[申请人填写]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  <w:sz w:val="28"/>
        </w:rPr>
        <w:t>目录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第1章 软件概述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第2章 运行环境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第3章 总体架构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第4章 数据契约与输入特征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第5章 ModernTCN 模型模块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第6章 训练与评估模块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第7章 ONNX 导出与一致性验证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第8章 MATLAB 在线推理模块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第9章 闭环验证接口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第10章 结果分析与报告模块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第11章 用户使用说明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第12章 技术特点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第13章 数据安全、第三方依赖与权属边界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第14章 版本说明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附录 A 主要源码文件清单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附录 B 输入输出文件清单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附录 C 默认配置表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附录 D 运行命令示例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附录 E 术语表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第1章 软件概述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1.1 软件名称、简称与版本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本软件全称为"基于 ModernTCN 的 AGV 工况感知与坡度调度软件"，简称为"ModernTCN-AGV 感知调度软件"，版本号为"V1.0"。本说明书、源码页眉、申请字段草稿和一致性检查清单均以该名称和版本为统一标识。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软件名称中的"ModernTCN"指本软件采用的核心时序感知模型架构；"AGV 工况感知"指主工况分类和转向方向分类功能；"坡度调度"指坡度回归量输出及其面向 LPV-MPC 控制器的调度应用。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1.2 开发背景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本软件面向对角双转向驱动 AGV 的工况感知与坡度调度需求。AGV 在直行、转向、坡道、低速堵转和扰动条件下的传感量具有时序相关性，单点规则或固定参数控制难以完整描述实际工况变化。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项目通过 Python/PyTorch 实现 ModernTCN 多任务时序感知模型，通过统一数据契约组织训练数据，通过 ONNX 格式实现跨 Python/MATLAB 部署，并在 MATLAB/Simulink 环境中提供在线推理和闭环验证接口。AGV 车辆模型、LPV-MPC 控制器和 Simulink 闭环模型在本软件中作为验证平台和接口环境。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1.3 软件目标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本软件目标是提供一套面向 AGV 场景的 ModernTCN 多任务时序工况感知与坡度调度工具链。软件能够：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使用 128 步、19 维输入窗口构建统一时序数据集；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训练 ModernTCN 多任务模型，输出主工况分类、转向方向分类和坡度回归；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将 PyTorch 模型导出为 ONNX 格式；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在 Python 端和 MATLAB 端分别进行一致性验证；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在 MATLAB 中加载 ONNX 模型，维护在线滑动窗口，完成逐步推理；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通过 Simulink 接口封装将感知输出接入闭环验证平台。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1.4 应用对象与使用场景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软件适用于 AGV 控制算法研究、工况感知模型验证、坡度调度策略仿真和闭环性能验证。典型用户包括控制算法开发人员、仿真平台维护人员和研究型项目成员。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当前版本主要用于桌面仿真和算法验证。ONNXRuntime 核心推理链路可用于评估计算余量；MATLAB/Simulink 封装主要用于闭环仿真验证和调试。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1.5 软件边界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本申请包的软件主体是 ModernTCN 多任务时序感知模型、数据读取与窗口组织、训练与评估、ONNX 导出、ONNXRuntime 一致性验证、MATLAB 在线预测、Simulink 接口封装、坡度调度量输出与闭环验证接口。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以下内容在本申请包中仅作为运行支撑模块、验证环境或接口环境出现，不作为软件主体：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AGV 非线性车辆动力学完整平台（state_eq.m、output_eq.m 等）；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LPV 线性化与 MPC 控制器完整平台（lin_agv_at_point.m、mpc_setup_single_interp.m 等）；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Simulink 闭环控制模型本体（.slx 文件）；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GRU/TCN 对照算法（src/gru/、src/TCN/）；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论文图表生成系统。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1.6 与 GRU 申请包的边界区别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ModernTCN 申请包以 Python 实现的 ModernTCN 网络、ONNX 导出和跨环境部署链路为主体；GRU 申请包以 MATLAB 实现的 GRU 训练、推理、状态分类器和 Simulink 封装为主体。两者可共用数据契约和验证平台，但源码鉴别材料、说明书章节主线、申请表功能描述必须分别突出各自算法和实现流程。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第2章 运行环境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2.1 硬件环境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软件可在普通 PC 工作站上运行，建议使用多核 CPU 和 16GB 及以上内存。若进行 ModernTCN 训练，可选 NVIDIA GPU 以缩短训练时间；若仅执行已训练模型的在线推理和闭环验证，CPU 环境也可运行。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2.2 软件环境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软件环境包括 Windows 10/11 或兼容桌面操作系统、Python 3.8+、PyTorch、ONNXRuntime、MATLAB/Simulink，以及必要的 MATLAB 工具箱。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2.3 开发语言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软件主体源代码由 Python 和 MATLAB 编写。Python 部分包括 ModernTCN 模型定义、数据加载、训练指标、训练入口、ONNX 导出和 ONNXRuntime 一致性检查。MATLAB 部分包括默认配置、predictor 加载、在线窗口维护、状态分类器、Simulink 接口封装和闭环验证接口。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2.4 Python 依赖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Python 部分依赖以下第三方库，均作为运行环境，不作为本软件自有源代码：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PyTorch：深度学习框架，用于 ModernTCN 模型定义和训练；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ONNXRuntime：ONNX 模型推理引擎，用于一致性验证和实时性测试；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NumPy/SciPy：数值计算和数据加载；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onnx/onnxscript：ONNX 导出辅助。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2.5 MATLAB/Simulink 依赖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MATLAB 部分依赖以下工具箱或能力：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MATLAB 基础环境；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Simulink：闭环仿真平台；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Deep Learning Toolbox（可选）：ONNX 模型导入支持；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Statistics and Machine Learning Toolbox（可选）：数据处理辅助。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2.6 输入输出文件环境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 xml:space="preserve">核心输入包括统一数据集 </w:t>
      </w:r>
      <w:r>
        <w:rPr>
          <w:rFonts w:ascii="Consolas" w:hAnsi="Consolas"/>
          <w:color w:val="800000"/>
          <w:sz w:val="18"/>
        </w:rPr>
        <w:t>.mat</w:t>
      </w:r>
      <w:r>
        <w:rPr>
          <w:rFonts w:ascii="宋体" w:hAnsi="宋体" w:eastAsia="宋体"/>
          <w:sz w:val="21"/>
        </w:rPr>
        <w:t xml:space="preserve"> 文件、数据契约 </w:t>
      </w:r>
      <w:r>
        <w:rPr>
          <w:rFonts w:ascii="Consolas" w:hAnsi="Consolas"/>
          <w:color w:val="800000"/>
          <w:sz w:val="18"/>
        </w:rPr>
        <w:t>.json</w:t>
      </w:r>
      <w:r>
        <w:rPr>
          <w:rFonts w:ascii="宋体" w:hAnsi="宋体" w:eastAsia="宋体"/>
          <w:sz w:val="21"/>
        </w:rPr>
        <w:t xml:space="preserve"> 文件、已训练的 ONNX 模型文件和 PyTorch 参考输出 </w:t>
      </w:r>
      <w:r>
        <w:rPr>
          <w:rFonts w:ascii="Consolas" w:hAnsi="Consolas"/>
          <w:color w:val="800000"/>
          <w:sz w:val="18"/>
        </w:rPr>
        <w:t>.mat</w:t>
      </w:r>
      <w:r>
        <w:rPr>
          <w:rFonts w:ascii="宋体" w:hAnsi="宋体" w:eastAsia="宋体"/>
          <w:sz w:val="21"/>
        </w:rPr>
        <w:t xml:space="preserve"> 文件。当前主线数据集为 </w:t>
      </w:r>
      <w:r>
        <w:rPr>
          <w:rFonts w:ascii="Consolas" w:hAnsi="Consolas"/>
          <w:color w:val="800000"/>
          <w:sz w:val="18"/>
        </w:rPr>
        <w:t>data/tcn/ModernTCN_dataset_agv_dualsteer_theta10_uniform_conf_h0_v2.mat</w:t>
      </w:r>
      <w:r>
        <w:rPr>
          <w:rFonts w:ascii="宋体" w:hAnsi="宋体" w:eastAsia="宋体"/>
          <w:sz w:val="21"/>
        </w:rPr>
        <w:t>。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 xml:space="preserve">核心输出包括训练指标 CSV、checkpoint </w:t>
      </w:r>
      <w:r>
        <w:rPr>
          <w:rFonts w:ascii="Consolas" w:hAnsi="Consolas"/>
          <w:color w:val="800000"/>
          <w:sz w:val="18"/>
        </w:rPr>
        <w:t>.pt</w:t>
      </w:r>
      <w:r>
        <w:rPr>
          <w:rFonts w:ascii="宋体" w:hAnsi="宋体" w:eastAsia="宋体"/>
          <w:sz w:val="21"/>
        </w:rPr>
        <w:t xml:space="preserve"> 文件、ONNX 模型文件、一致性检查报告、闭环仿真 </w:t>
      </w:r>
      <w:r>
        <w:rPr>
          <w:rFonts w:ascii="Consolas" w:hAnsi="Consolas"/>
          <w:color w:val="800000"/>
          <w:sz w:val="18"/>
        </w:rPr>
        <w:t>logsout</w:t>
      </w:r>
      <w:r>
        <w:rPr>
          <w:rFonts w:ascii="宋体" w:hAnsi="宋体" w:eastAsia="宋体"/>
          <w:sz w:val="21"/>
        </w:rPr>
        <w:t xml:space="preserve"> 和结果分析报告。运行结果主要存放在 </w:t>
      </w:r>
      <w:r>
        <w:rPr>
          <w:rFonts w:ascii="Consolas" w:hAnsi="Consolas"/>
          <w:color w:val="800000"/>
          <w:sz w:val="18"/>
        </w:rPr>
        <w:t>results/</w:t>
      </w:r>
      <w:r>
        <w:rPr>
          <w:rFonts w:ascii="宋体" w:hAnsi="宋体" w:eastAsia="宋体"/>
          <w:sz w:val="21"/>
        </w:rPr>
        <w:t xml:space="preserve"> 目录。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第3章 总体架构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3.1 离线训练架构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离线训练阶段使用 Python/PyTorch 实现。数据加载模块从统一数据集读取 128 步、19 维输入窗口，按 run 级策略划分为训练集、验证集和测试集，并仅在训练集上拟合 scaler。ModernTCN 模型接受归一化后的窗口输入，输出三任务结果。训练过程记录损失函数和指标，保存 checkpoint。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3.2 在线部署架构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在线部署阶段使用 MATLAB 实现。MATLAB 加载已导出的 ONNX 模型和 scaler 参数，维护 128 步滑动窗口。每个控制周期从 AGV 输出的 y_raw 中提取 19 维特征，归一化后送入窗口，按需调用 ONNX predictor 获取预测结果。状态分类器对 logits 进行解码，输出工况标签、转向标签和 theta 调度量。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3.3 数据流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路径/仿真数据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 xml:space="preserve">     │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 xml:space="preserve">     ▼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统一数据集与数据契约 ──&gt; 128×19窗口 ──&gt; ModernTCN训练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 xml:space="preserve">     │                                      │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 xml:space="preserve">     │                                      ▼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 xml:space="preserve">     │                              checkpoint / ONNX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 xml:space="preserve">     │                                      │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 xml:space="preserve">     ▼                                      ▼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MATLAB在线窗口维护 &lt;── ONNX/MATLAB加载器 &lt;── 一致性检查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 xml:space="preserve">     │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 xml:space="preserve">     ▼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logits_main / logits_turn / theta_hat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 xml:space="preserve">     │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 xml:space="preserve">     ▼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AGV-LPV-MPC闭环验证接口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3.4 控制/调用流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控制流由 Simulink 闭环模型驱动。每个仿真步中，AGV 模型输出传感和状态量，ModernTCN 在线模块维护历史窗口并完成预测，LPV-MPC 根据调度量更新控制器，控制输入再作用于车辆模型。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3.5 与 AGV-LPV-MPC 验证平台的接口关系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 xml:space="preserve">AGV 车辆模型、LPV 线性化、MPC 控制器和 Simulink 闭环模型在本软件中作为验证平台和接口环境。ModernTCN 感知输出通过 </w:t>
      </w:r>
      <w:r>
        <w:rPr>
          <w:rFonts w:ascii="Consolas" w:hAnsi="Consolas"/>
          <w:color w:val="800000"/>
          <w:sz w:val="18"/>
        </w:rPr>
        <w:t>preloadfcn_modern_tcn.m</w:t>
      </w:r>
      <w:r>
        <w:rPr>
          <w:rFonts w:ascii="宋体" w:hAnsi="宋体" w:eastAsia="宋体"/>
          <w:sz w:val="21"/>
        </w:rPr>
        <w:t xml:space="preserve"> 和 </w:t>
      </w:r>
      <w:r>
        <w:rPr>
          <w:rFonts w:ascii="Consolas" w:hAnsi="Consolas"/>
          <w:color w:val="800000"/>
          <w:sz w:val="18"/>
        </w:rPr>
        <w:t>ModernTCN_State_Classifier_sim.m</w:t>
      </w:r>
      <w:r>
        <w:rPr>
          <w:rFonts w:ascii="宋体" w:hAnsi="宋体" w:eastAsia="宋体"/>
          <w:sz w:val="21"/>
        </w:rPr>
        <w:t xml:space="preserve"> 接入 Simulink 模型，坡度调度量 theta_hat 用于 LPV-MPC 的 rho 调度更新。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3.6 架构图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┌─────────────────────────────────────────────────────────┐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│                    Python 离线训练                        │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│                                                         │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│  ┌──────────┐   ┌──────────┐   ┌──────────┐            │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│  │ 数据加载  │──&gt;│ ModernTCN │──&gt;│ 训练循环  │            │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│  │ 128×19   │   │ 模型定义  │   │ 损失/指标 │            │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│  └──────────┘   └──────────┘   └──────────┘            │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│       │                                │                │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│       ▼                                ▼                │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│  ┌──────────┐                    ┌──────────┐           │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│  │ 数据契约  │                    │ checkpoint│           │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│  │ scaler   │                    │ ONNX导出  │           │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│  └──────────┘                    └──────────┘           │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└─────────────────────────────────────────────────────────┘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 xml:space="preserve">                    │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 xml:space="preserve">                    ▼ ONNX + scaler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┌─────────────────────────────────────────────────────────┐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│                  MATLAB 在线部署                          │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│                                                         │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│  ┌──────────┐   ┌──────────┐   ┌──────────┐            │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│  │ 配置加载  │──&gt;│ 窗口维护  │──&gt;│ ONNX推理  │            │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│  │ 19维特征  │   │ 128步滑窗 │   │ predictor │            │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│  └──────────┘   └──────────┘   └──────────┘            │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│                                        │                │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│                                        ▼                │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│                               ┌──────────┐              │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│                               │ 状态分类器 │              │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│                               │ theta调理 │              │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│                               └──────────┘              │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│                                        │                │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│                                        ▼                │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│                               ┌──────────┐              │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│                               │ Simulink  │              │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│                               │ 闭环验证  │              │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│                               └──────────┘              │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第4章 数据契约与输入特征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4.1 数据来源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 xml:space="preserve">训练数据由 AGV 仿真模型和参考路径共同生成。AGV 车辆对象为 </w:t>
      </w:r>
      <w:r>
        <w:rPr>
          <w:rFonts w:ascii="Consolas" w:hAnsi="Consolas"/>
          <w:color w:val="800000"/>
          <w:sz w:val="18"/>
        </w:rPr>
        <w:t>diagonal_dual_steer_drive_agv</w:t>
      </w:r>
      <w:r>
        <w:rPr>
          <w:rFonts w:ascii="宋体" w:hAnsi="宋体" w:eastAsia="宋体"/>
          <w:sz w:val="21"/>
        </w:rPr>
        <w:t xml:space="preserve">，主动驱动/转向轮为 LF 和 RR，被动支撑轮为 RF 和 LR，控制/仿真采样周期为 </w:t>
      </w:r>
      <w:r>
        <w:rPr>
          <w:rFonts w:ascii="Consolas" w:hAnsi="Consolas"/>
          <w:color w:val="800000"/>
          <w:sz w:val="18"/>
        </w:rPr>
        <w:t>Ts = 0.01 s</w:t>
      </w:r>
      <w:r>
        <w:rPr>
          <w:rFonts w:ascii="宋体" w:hAnsi="宋体" w:eastAsia="宋体"/>
          <w:sz w:val="21"/>
        </w:rPr>
        <w:t>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4.2 统一数据集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当前主线数据集为：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data/tcn/ModernTCN_dataset_agv_dualsteer_theta10_uniform_conf_h0_v2.mat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数据契约为：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data/tcn/ModernTCN_dataset_agv_dualsteer_theta10_uniform_conf_h0_v2_contract.json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该数据集被 ModernTCN、GRU 和 TCN 共同使用，确保不同算法使用相同数据进行公平对比。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4.3 窗口化策略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 xml:space="preserve">窗口化策略固定为 </w:t>
      </w:r>
      <w:r>
        <w:rPr>
          <w:rFonts w:ascii="Consolas" w:hAnsi="Consolas"/>
          <w:color w:val="800000"/>
          <w:sz w:val="18"/>
        </w:rPr>
        <w:t>seq_len = 128</w:t>
      </w:r>
      <w:r>
        <w:rPr>
          <w:rFonts w:ascii="宋体" w:hAnsi="宋体" w:eastAsia="宋体"/>
          <w:sz w:val="21"/>
        </w:rPr>
        <w:t xml:space="preserve">，控制采样周期为 </w:t>
      </w:r>
      <w:r>
        <w:rPr>
          <w:rFonts w:ascii="Consolas" w:hAnsi="Consolas"/>
          <w:color w:val="800000"/>
          <w:sz w:val="18"/>
        </w:rPr>
        <w:t>Ts = 0.01 s</w:t>
      </w:r>
      <w:r>
        <w:rPr>
          <w:rFonts w:ascii="宋体" w:hAnsi="宋体" w:eastAsia="宋体"/>
          <w:sz w:val="21"/>
        </w:rPr>
        <w:t xml:space="preserve">，因此单个输入窗口覆盖约 1.28 秒历史观测。窗口标签采用 </w:t>
      </w:r>
      <w:r>
        <w:rPr>
          <w:rFonts w:ascii="Consolas" w:hAnsi="Consolas"/>
          <w:color w:val="800000"/>
          <w:sz w:val="18"/>
        </w:rPr>
        <w:t>current_window_end</w:t>
      </w:r>
      <w:r>
        <w:rPr>
          <w:rFonts w:ascii="宋体" w:hAnsi="宋体" w:eastAsia="宋体"/>
          <w:sz w:val="21"/>
        </w:rPr>
        <w:t xml:space="preserve"> 策略，即以当前窗口末端对应工况作为标签。预测步长 </w:t>
      </w:r>
      <w:r>
        <w:rPr>
          <w:rFonts w:ascii="Consolas" w:hAnsi="Consolas"/>
          <w:color w:val="800000"/>
          <w:sz w:val="18"/>
        </w:rPr>
        <w:t>horizon_steps = 0</w:t>
      </w:r>
      <w:r>
        <w:rPr>
          <w:rFonts w:ascii="宋体" w:hAnsi="宋体" w:eastAsia="宋体"/>
          <w:sz w:val="21"/>
        </w:rPr>
        <w:t>，当前默认版本不做未来步预测。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4.4 run 级划分与防泄漏策略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 xml:space="preserve">数据划分策略为 </w:t>
      </w:r>
      <w:r>
        <w:rPr>
          <w:rFonts w:ascii="Consolas" w:hAnsi="Consolas"/>
          <w:color w:val="800000"/>
          <w:sz w:val="18"/>
        </w:rPr>
        <w:t>run_level_no_window_leakage</w:t>
      </w:r>
      <w:r>
        <w:rPr>
          <w:rFonts w:ascii="宋体" w:hAnsi="宋体" w:eastAsia="宋体"/>
          <w:sz w:val="21"/>
        </w:rPr>
        <w:t>。该策略在 run 级别（即每次独立仿真实验）划分训练集、验证集和测试集，避免同一 run 的不同窗口出现在不同集合中导致数据泄漏。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4.5 scaler 拟合策略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 xml:space="preserve">scaler 策略为 </w:t>
      </w:r>
      <w:r>
        <w:rPr>
          <w:rFonts w:ascii="Consolas" w:hAnsi="Consolas"/>
          <w:color w:val="800000"/>
          <w:sz w:val="18"/>
        </w:rPr>
        <w:t>fit_train_only_apply_val_test_online</w:t>
      </w:r>
      <w:r>
        <w:rPr>
          <w:rFonts w:ascii="宋体" w:hAnsi="宋体" w:eastAsia="宋体"/>
          <w:sz w:val="21"/>
        </w:rPr>
        <w:t>。该策略仅在训练集上拟合均值和标准差，验证集、测试集和在线数据使用训练集的 scaler 参数进行归一化，避免信息泄漏。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4.6 19 维输入特征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 xml:space="preserve">当前 ModernTCN 输入维度为 </w:t>
      </w:r>
      <w:r>
        <w:rPr>
          <w:rFonts w:ascii="Consolas" w:hAnsi="Consolas"/>
          <w:color w:val="800000"/>
          <w:sz w:val="18"/>
        </w:rPr>
        <w:t>input_dim = 19</w:t>
      </w:r>
      <w:r>
        <w:rPr>
          <w:rFonts w:ascii="宋体" w:hAnsi="宋体" w:eastAsia="宋体"/>
          <w:sz w:val="21"/>
        </w:rPr>
        <w:t>。19 个输入特征依次为：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3230"/>
            <w:shd w:val="clear" w:color="auto"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特征名</w:t>
            </w:r>
          </w:p>
        </w:tc>
        <w:tc>
          <w:tcPr>
            <w:tcW w:type="dxa" w:w="3230"/>
            <w:shd w:val="clear" w:color="auto"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accel_x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纵向加速度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gyro_z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偏航角速度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I_lf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左前轮电流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I_rr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右后轮电流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omega_wheel_lf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左前轮角速度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omega_wheel_rr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右后轮角速度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delta_lf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左前轮转向角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delta_rr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右后轮转向角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gyro_y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俯仰角速度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v_hat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估计速度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dv_hat_dt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速度变化率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ws_imbalance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轮速不平衡量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I_sum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电流和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I_diff_signed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有符号电流差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I_diff_abs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电流差绝对值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accel_x_lp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低通滤波纵向加速度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17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kappa_proxy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曲率代理量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18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accel_per_current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单位电流加速度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19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pitch_angle_est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估计俯仰角</w:t>
            </w:r>
          </w:p>
        </w:tc>
      </w:tr>
    </w:tbl>
    <w:p>
      <w:pPr>
        <w:pStyle w:val="Heading3"/>
      </w:pPr>
      <w:r>
        <w:rPr>
          <w:rFonts w:ascii="黑体" w:hAnsi="黑体" w:eastAsia="黑体"/>
          <w:color w:val="000000"/>
          <w:sz w:val="24"/>
        </w:rPr>
        <w:t>4.7 三任务标签定义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本软件输出三类预测结果：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主工况分类</w:t>
      </w:r>
      <w:r>
        <w:rPr>
          <w:rFonts w:ascii="宋体" w:hAnsi="宋体" w:eastAsia="宋体"/>
          <w:sz w:val="21"/>
        </w:rPr>
        <w:t>（logits_main，3 维）：flat=1, stall=2, slope=3，分别对应平地、堵转和坡道工况；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转向方向分类</w:t>
      </w:r>
      <w:r>
        <w:rPr>
          <w:rFonts w:ascii="宋体" w:hAnsi="宋体" w:eastAsia="宋体"/>
          <w:sz w:val="21"/>
        </w:rPr>
        <w:t>（logits_turn，3 维）：right=-1, straight=0, left=1，分别对应右转、直行和左转；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坡度/调度量回归</w:t>
      </w:r>
      <w:r>
        <w:rPr>
          <w:rFonts w:ascii="宋体" w:hAnsi="宋体" w:eastAsia="宋体"/>
          <w:sz w:val="21"/>
        </w:rPr>
        <w:t>（theta_hat，1 维）：连续值，表示估计的坡度角或调度量。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4.8 输入输出数据格式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 xml:space="preserve">训练阶段输入形状为 </w:t>
      </w:r>
      <w:r>
        <w:rPr>
          <w:rFonts w:ascii="Consolas" w:hAnsi="Consolas"/>
          <w:color w:val="800000"/>
          <w:sz w:val="18"/>
        </w:rPr>
        <w:t>[batch, 128, 19]</w:t>
      </w:r>
      <w:r>
        <w:rPr>
          <w:rFonts w:ascii="宋体" w:hAnsi="宋体" w:eastAsia="宋体"/>
          <w:sz w:val="21"/>
        </w:rPr>
        <w:t xml:space="preserve">，进入模型前转置为 </w:t>
      </w:r>
      <w:r>
        <w:rPr>
          <w:rFonts w:ascii="Consolas" w:hAnsi="Consolas"/>
          <w:color w:val="800000"/>
          <w:sz w:val="18"/>
        </w:rPr>
        <w:t>[batch, 19, 128]</w:t>
      </w:r>
      <w:r>
        <w:rPr>
          <w:rFonts w:ascii="宋体" w:hAnsi="宋体" w:eastAsia="宋体"/>
          <w:sz w:val="21"/>
        </w:rPr>
        <w:t xml:space="preserve"> 以适配 Conv1d。ONNX 导出时固定输入名称为 </w:t>
      </w:r>
      <w:r>
        <w:rPr>
          <w:rFonts w:ascii="Consolas" w:hAnsi="Consolas"/>
          <w:color w:val="800000"/>
          <w:sz w:val="18"/>
        </w:rPr>
        <w:t>input_window</w:t>
      </w:r>
      <w:r>
        <w:rPr>
          <w:rFonts w:ascii="宋体" w:hAnsi="宋体" w:eastAsia="宋体"/>
          <w:sz w:val="21"/>
        </w:rPr>
        <w:t xml:space="preserve">，形状为 </w:t>
      </w:r>
      <w:r>
        <w:rPr>
          <w:rFonts w:ascii="Consolas" w:hAnsi="Consolas"/>
          <w:color w:val="800000"/>
          <w:sz w:val="18"/>
        </w:rPr>
        <w:t>[1, 128, 19]</w:t>
      </w:r>
      <w:r>
        <w:rPr>
          <w:rFonts w:ascii="宋体" w:hAnsi="宋体" w:eastAsia="宋体"/>
          <w:sz w:val="21"/>
        </w:rPr>
        <w:t xml:space="preserve">，输出名称为 </w:t>
      </w:r>
      <w:r>
        <w:rPr>
          <w:rFonts w:ascii="Consolas" w:hAnsi="Consolas"/>
          <w:color w:val="800000"/>
          <w:sz w:val="18"/>
        </w:rPr>
        <w:t>logits_main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/>
          <w:color w:val="800000"/>
          <w:sz w:val="18"/>
        </w:rPr>
        <w:t>logits_turn</w:t>
      </w:r>
      <w:r>
        <w:rPr>
          <w:rFonts w:ascii="宋体" w:hAnsi="宋体" w:eastAsia="宋体"/>
          <w:sz w:val="21"/>
        </w:rPr>
        <w:t xml:space="preserve"> 和 </w:t>
      </w:r>
      <w:r>
        <w:rPr>
          <w:rFonts w:ascii="Consolas" w:hAnsi="Consolas"/>
          <w:color w:val="800000"/>
          <w:sz w:val="18"/>
        </w:rPr>
        <w:t>theta_hat</w:t>
      </w:r>
      <w:r>
        <w:rPr>
          <w:rFonts w:ascii="宋体" w:hAnsi="宋体" w:eastAsia="宋体"/>
          <w:sz w:val="21"/>
        </w:rPr>
        <w:t>。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第5章 ModernTCN 模型模块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5.1 模块定位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 xml:space="preserve">ModernTCN 模型模块是本软件的核心感知组件，负责从 128 步、19 维输入窗口中提取时序特征，完成主工况分类、转向方向分类和坡度回归三项任务。该模块定义在 </w:t>
      </w:r>
      <w:r>
        <w:rPr>
          <w:rFonts w:ascii="Consolas" w:hAnsi="Consolas"/>
          <w:color w:val="800000"/>
          <w:sz w:val="18"/>
        </w:rPr>
        <w:t>src/ModernTCN/modern_tcn_model.py</w:t>
      </w:r>
      <w:r>
        <w:rPr>
          <w:rFonts w:ascii="宋体" w:hAnsi="宋体" w:eastAsia="宋体"/>
          <w:sz w:val="21"/>
        </w:rPr>
        <w:t xml:space="preserve"> 中。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5.2 模型输入输出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 xml:space="preserve">模型输入为 </w:t>
      </w:r>
      <w:r>
        <w:rPr>
          <w:rFonts w:ascii="Consolas" w:hAnsi="Consolas"/>
          <w:color w:val="800000"/>
          <w:sz w:val="18"/>
        </w:rPr>
        <w:t>[batch, time=128, features=19]</w:t>
      </w:r>
      <w:r>
        <w:rPr>
          <w:rFonts w:ascii="宋体" w:hAnsi="宋体" w:eastAsia="宋体"/>
          <w:sz w:val="21"/>
        </w:rPr>
        <w:t xml:space="preserve"> 的归一化时序窗口。模型输出三个张量：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Consolas" w:hAnsi="Consolas"/>
          <w:color w:val="800000"/>
          <w:sz w:val="18"/>
        </w:rPr>
        <w:t>logits_main</w:t>
      </w:r>
      <w:r>
        <w:rPr>
          <w:rFonts w:ascii="宋体" w:hAnsi="宋体" w:eastAsia="宋体"/>
          <w:sz w:val="21"/>
        </w:rPr>
        <w:t>：</w:t>
      </w:r>
      <w:r>
        <w:rPr>
          <w:rFonts w:ascii="Consolas" w:hAnsi="Consolas"/>
          <w:color w:val="800000"/>
          <w:sz w:val="18"/>
        </w:rPr>
        <w:t>[batch, 3]</w:t>
      </w:r>
      <w:r>
        <w:rPr>
          <w:rFonts w:ascii="宋体" w:hAnsi="宋体" w:eastAsia="宋体"/>
          <w:sz w:val="21"/>
        </w:rPr>
        <w:t>，主工况分类 logits；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Consolas" w:hAnsi="Consolas"/>
          <w:color w:val="800000"/>
          <w:sz w:val="18"/>
        </w:rPr>
        <w:t>logits_turn</w:t>
      </w:r>
      <w:r>
        <w:rPr>
          <w:rFonts w:ascii="宋体" w:hAnsi="宋体" w:eastAsia="宋体"/>
          <w:sz w:val="21"/>
        </w:rPr>
        <w:t>：</w:t>
      </w:r>
      <w:r>
        <w:rPr>
          <w:rFonts w:ascii="Consolas" w:hAnsi="Consolas"/>
          <w:color w:val="800000"/>
          <w:sz w:val="18"/>
        </w:rPr>
        <w:t>[batch, 3]</w:t>
      </w:r>
      <w:r>
        <w:rPr>
          <w:rFonts w:ascii="宋体" w:hAnsi="宋体" w:eastAsia="宋体"/>
          <w:sz w:val="21"/>
        </w:rPr>
        <w:t>，转向方向分类 logits；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Consolas" w:hAnsi="Consolas"/>
          <w:color w:val="800000"/>
          <w:sz w:val="18"/>
        </w:rPr>
        <w:t>theta_hat</w:t>
      </w:r>
      <w:r>
        <w:rPr>
          <w:rFonts w:ascii="宋体" w:hAnsi="宋体" w:eastAsia="宋体"/>
          <w:sz w:val="21"/>
        </w:rPr>
        <w:t>：</w:t>
      </w:r>
      <w:r>
        <w:rPr>
          <w:rFonts w:ascii="Consolas" w:hAnsi="Consolas"/>
          <w:color w:val="800000"/>
          <w:sz w:val="18"/>
        </w:rPr>
        <w:t>[batch, 1]</w:t>
      </w:r>
      <w:r>
        <w:rPr>
          <w:rFonts w:ascii="宋体" w:hAnsi="宋体" w:eastAsia="宋体"/>
          <w:sz w:val="21"/>
        </w:rPr>
        <w:t>，坡度/调度量回归输出。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5.3 ModernTCN-small 结构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ModernTCN-small 是本软件使用的默认模型结构，由以下组件组成：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stem</w:t>
      </w:r>
      <w:r>
        <w:rPr>
          <w:rFonts w:ascii="宋体" w:hAnsi="宋体" w:eastAsia="宋体"/>
          <w:sz w:val="21"/>
        </w:rPr>
        <w:t>：1×1 卷积 + BatchNorm + ReLU，将 19 维输入映射到 64 通道；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blocks</w:t>
      </w:r>
      <w:r>
        <w:rPr>
          <w:rFonts w:ascii="宋体" w:hAnsi="宋体" w:eastAsia="宋体"/>
          <w:sz w:val="21"/>
        </w:rPr>
        <w:t>：5 个 ModernTCNBlock 残差块，每块包含大核深度卷积和逐点 MLP；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readout</w:t>
      </w:r>
      <w:r>
        <w:rPr>
          <w:rFonts w:ascii="宋体" w:hAnsi="宋体" w:eastAsia="宋体"/>
          <w:sz w:val="21"/>
        </w:rPr>
        <w:t>：从最后一个时间步、全局均值和全局最大值拼接特征，加上窗口级输入统计；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任务头</w:t>
      </w:r>
      <w:r>
        <w:rPr>
          <w:rFonts w:ascii="宋体" w:hAnsi="宋体" w:eastAsia="宋体"/>
          <w:sz w:val="21"/>
        </w:rPr>
        <w:t>：三个独立的线性层分别输出主工况、转向方向和坡度。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默认配置参数：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input_dim = 19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seq_len = 128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channels = 64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blocks = 5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kernel_size = 31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temporal_padding = "same"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dropout = 0.15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expansion = 2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5.4 大核深度时序卷积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ModernTCNBlock 的核心是大核深度可分离卷积（depthwise convolution）。每个块中：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depthwise</w:t>
      </w:r>
      <w:r>
        <w:rPr>
          <w:rFonts w:ascii="宋体" w:hAnsi="宋体" w:eastAsia="宋体"/>
          <w:sz w:val="21"/>
        </w:rPr>
        <w:t>：</w:t>
      </w:r>
      <w:r>
        <w:rPr>
          <w:rFonts w:ascii="Consolas" w:hAnsi="Consolas"/>
          <w:color w:val="800000"/>
          <w:sz w:val="18"/>
        </w:rPr>
        <w:t>kernel_size=31</w:t>
      </w:r>
      <w:r>
        <w:rPr>
          <w:rFonts w:ascii="宋体" w:hAnsi="宋体" w:eastAsia="宋体"/>
          <w:sz w:val="21"/>
        </w:rPr>
        <w:t xml:space="preserve"> 的深度卷积，</w:t>
      </w:r>
      <w:r>
        <w:rPr>
          <w:rFonts w:ascii="Consolas" w:hAnsi="Consolas"/>
          <w:color w:val="800000"/>
          <w:sz w:val="18"/>
        </w:rPr>
        <w:t>groups=channels</w:t>
      </w:r>
      <w:r>
        <w:rPr>
          <w:rFonts w:ascii="宋体" w:hAnsi="宋体" w:eastAsia="宋体"/>
          <w:sz w:val="21"/>
        </w:rPr>
        <w:t>，仅在时间维度上滑动；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BatchNorm + ReLU</w:t>
      </w:r>
      <w:r>
        <w:rPr>
          <w:rFonts w:ascii="宋体" w:hAnsi="宋体" w:eastAsia="宋体"/>
          <w:sz w:val="21"/>
        </w:rPr>
        <w:t xml:space="preserve">：激活后接逐点卷积 pw1 扩展到 </w:t>
      </w:r>
      <w:r>
        <w:rPr>
          <w:rFonts w:ascii="Consolas" w:hAnsi="Consolas"/>
          <w:color w:val="800000"/>
          <w:sz w:val="18"/>
        </w:rPr>
        <w:t>hidden = channels × expansion</w:t>
      </w:r>
      <w:r>
        <w:rPr>
          <w:rFonts w:ascii="宋体" w:hAnsi="宋体" w:eastAsia="宋体"/>
          <w:sz w:val="21"/>
        </w:rPr>
        <w:t xml:space="preserve"> 维；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Dropout + pw2</w:t>
      </w:r>
      <w:r>
        <w:rPr>
          <w:rFonts w:ascii="宋体" w:hAnsi="宋体" w:eastAsia="宋体"/>
          <w:sz w:val="21"/>
        </w:rPr>
        <w:t xml:space="preserve">：逐点卷积 pw2 压缩回 </w:t>
      </w:r>
      <w:r>
        <w:rPr>
          <w:rFonts w:ascii="Consolas" w:hAnsi="Consolas"/>
          <w:color w:val="800000"/>
          <w:sz w:val="18"/>
        </w:rPr>
        <w:t>channels</w:t>
      </w:r>
      <w:r>
        <w:rPr>
          <w:rFonts w:ascii="宋体" w:hAnsi="宋体" w:eastAsia="宋体"/>
          <w:sz w:val="21"/>
        </w:rPr>
        <w:t xml:space="preserve"> 维；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layer_scale</w:t>
      </w:r>
      <w:r>
        <w:rPr>
          <w:rFonts w:ascii="宋体" w:hAnsi="宋体" w:eastAsia="宋体"/>
          <w:sz w:val="21"/>
        </w:rPr>
        <w:t xml:space="preserve">：可学习的缩放因子，初始值为 </w:t>
      </w:r>
      <w:r>
        <w:rPr>
          <w:rFonts w:ascii="Consolas" w:hAnsi="Consolas"/>
          <w:color w:val="800000"/>
          <w:sz w:val="18"/>
        </w:rPr>
        <w:t>1e-2</w:t>
      </w:r>
      <w:r>
        <w:rPr>
          <w:rFonts w:ascii="宋体" w:hAnsi="宋体" w:eastAsia="宋体"/>
          <w:sz w:val="21"/>
        </w:rPr>
        <w:t>，用于稳定训练。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 xml:space="preserve">same padding 模式下 </w:t>
      </w:r>
      <w:r>
        <w:rPr>
          <w:rFonts w:ascii="Consolas" w:hAnsi="Consolas"/>
          <w:color w:val="800000"/>
          <w:sz w:val="18"/>
        </w:rPr>
        <w:t>padding = kernel_size // 2</w:t>
      </w:r>
      <w:r>
        <w:rPr>
          <w:rFonts w:ascii="宋体" w:hAnsi="宋体" w:eastAsia="宋体"/>
          <w:sz w:val="21"/>
        </w:rPr>
        <w:t>，保证输出序列长度与输入一致。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5.5 残差连接与通道混合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每个 ModernTCNBlock 使用残差连接：</w:t>
      </w:r>
      <w:r>
        <w:rPr>
          <w:rFonts w:ascii="Consolas" w:hAnsi="Consolas"/>
          <w:color w:val="800000"/>
          <w:sz w:val="18"/>
        </w:rPr>
        <w:t>output = residual + y × layer_scale</w:t>
      </w:r>
      <w:r>
        <w:rPr>
          <w:rFonts w:ascii="宋体" w:hAnsi="宋体" w:eastAsia="宋体"/>
          <w:sz w:val="21"/>
        </w:rPr>
        <w:t>。残差连接保证梯度流畅传播，layer_scale 控制残差分支的贡献幅度。通道混合通过逐点卷积（1×1 Conv）实现，在每个时间步上对通道维度进行线性变换。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5.6 多任务输出头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三个任务头共享卷积骨干提取的特征，但使用独立的线性层：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main_head</w:t>
      </w:r>
      <w:r>
        <w:rPr>
          <w:rFonts w:ascii="宋体" w:hAnsi="宋体" w:eastAsia="宋体"/>
          <w:sz w:val="21"/>
        </w:rPr>
        <w:t>：</w:t>
      </w:r>
      <w:r>
        <w:rPr>
          <w:rFonts w:ascii="Consolas" w:hAnsi="Consolas"/>
          <w:color w:val="800000"/>
          <w:sz w:val="18"/>
        </w:rPr>
        <w:t>Linear(feature_dim, 3)</w:t>
      </w:r>
      <w:r>
        <w:rPr>
          <w:rFonts w:ascii="宋体" w:hAnsi="宋体" w:eastAsia="宋体"/>
          <w:sz w:val="21"/>
        </w:rPr>
        <w:t>，直接从拼接特征映射到 3 类主工况 logits；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turn_head</w:t>
      </w:r>
      <w:r>
        <w:rPr>
          <w:rFonts w:ascii="宋体" w:hAnsi="宋体" w:eastAsia="宋体"/>
          <w:sz w:val="21"/>
        </w:rPr>
        <w:t>：</w:t>
      </w:r>
      <w:r>
        <w:rPr>
          <w:rFonts w:ascii="Consolas" w:hAnsi="Consolas"/>
          <w:color w:val="800000"/>
          <w:sz w:val="18"/>
        </w:rPr>
        <w:t>Linear(turn_dim, 64) → ReLU → Linear(64, 3)</w:t>
      </w:r>
      <w:r>
        <w:rPr>
          <w:rFonts w:ascii="宋体" w:hAnsi="宋体" w:eastAsia="宋体"/>
          <w:sz w:val="21"/>
        </w:rPr>
        <w:t>，两层 MLP 映射到 3 类转向 logits；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theta_head</w:t>
      </w:r>
      <w:r>
        <w:rPr>
          <w:rFonts w:ascii="宋体" w:hAnsi="宋体" w:eastAsia="宋体"/>
          <w:sz w:val="21"/>
        </w:rPr>
        <w:t>：</w:t>
      </w:r>
      <w:r>
        <w:rPr>
          <w:rFonts w:ascii="Consolas" w:hAnsi="Consolas"/>
          <w:color w:val="800000"/>
          <w:sz w:val="18"/>
        </w:rPr>
        <w:t>Linear(feature_dim, 1)</w:t>
      </w:r>
      <w:r>
        <w:rPr>
          <w:rFonts w:ascii="宋体" w:hAnsi="宋体" w:eastAsia="宋体"/>
          <w:sz w:val="21"/>
        </w:rPr>
        <w:t>，从拼接特征映射到 1 维坡度回归值。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 xml:space="preserve">turn_head 的输入来源可通过 </w:t>
      </w:r>
      <w:r>
        <w:rPr>
          <w:rFonts w:ascii="Consolas" w:hAnsi="Consolas"/>
          <w:color w:val="800000"/>
          <w:sz w:val="18"/>
        </w:rPr>
        <w:t>turn_head_source</w:t>
      </w:r>
      <w:r>
        <w:rPr>
          <w:rFonts w:ascii="宋体" w:hAnsi="宋体" w:eastAsia="宋体"/>
          <w:sz w:val="21"/>
        </w:rPr>
        <w:t xml:space="preserve"> 配置，默认为 </w:t>
      </w:r>
      <w:r>
        <w:rPr>
          <w:rFonts w:ascii="Consolas" w:hAnsi="Consolas"/>
          <w:color w:val="800000"/>
          <w:sz w:val="18"/>
        </w:rPr>
        <w:t>"full"</w:t>
      </w:r>
      <w:r>
        <w:rPr>
          <w:rFonts w:ascii="宋体" w:hAnsi="宋体" w:eastAsia="宋体"/>
          <w:sz w:val="21"/>
        </w:rPr>
        <w:t>（使用全部特征）。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5.7 窗口统计特征融合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模型在 readout 阶段融合窗口级统计特征：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时序特征</w:t>
      </w:r>
      <w:r>
        <w:rPr>
          <w:rFonts w:ascii="宋体" w:hAnsi="宋体" w:eastAsia="宋体"/>
          <w:sz w:val="21"/>
        </w:rPr>
        <w:t xml:space="preserve">：卷积骨干最后一个时间步 </w:t>
      </w:r>
      <w:r>
        <w:rPr>
          <w:rFonts w:ascii="Consolas" w:hAnsi="Consolas"/>
          <w:color w:val="800000"/>
          <w:sz w:val="18"/>
        </w:rPr>
        <w:t>h_last</w:t>
      </w:r>
      <w:r>
        <w:rPr>
          <w:rFonts w:ascii="宋体" w:hAnsi="宋体" w:eastAsia="宋体"/>
          <w:sz w:val="21"/>
        </w:rPr>
        <w:t xml:space="preserve">、全局均值 </w:t>
      </w:r>
      <w:r>
        <w:rPr>
          <w:rFonts w:ascii="Consolas" w:hAnsi="Consolas"/>
          <w:color w:val="800000"/>
          <w:sz w:val="18"/>
        </w:rPr>
        <w:t>h_mean</w:t>
      </w:r>
      <w:r>
        <w:rPr>
          <w:rFonts w:ascii="宋体" w:hAnsi="宋体" w:eastAsia="宋体"/>
          <w:sz w:val="21"/>
        </w:rPr>
        <w:t xml:space="preserve">、全局最大值 </w:t>
      </w:r>
      <w:r>
        <w:rPr>
          <w:rFonts w:ascii="Consolas" w:hAnsi="Consolas"/>
          <w:color w:val="800000"/>
          <w:sz w:val="18"/>
        </w:rPr>
        <w:t>h_max</w:t>
      </w:r>
      <w:r>
        <w:rPr>
          <w:rFonts w:ascii="宋体" w:hAnsi="宋体" w:eastAsia="宋体"/>
          <w:sz w:val="21"/>
        </w:rPr>
        <w:t>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输入统计</w:t>
      </w:r>
      <w:r>
        <w:rPr>
          <w:rFonts w:ascii="宋体" w:hAnsi="宋体" w:eastAsia="宋体"/>
          <w:sz w:val="21"/>
        </w:rPr>
        <w:t xml:space="preserve">：原始输入窗口的 </w:t>
      </w:r>
      <w:r>
        <w:rPr>
          <w:rFonts w:ascii="Consolas" w:hAnsi="Consolas"/>
          <w:color w:val="800000"/>
          <w:sz w:val="18"/>
        </w:rPr>
        <w:t>last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/>
          <w:color w:val="800000"/>
          <w:sz w:val="18"/>
        </w:rPr>
        <w:t>mean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/>
          <w:color w:val="800000"/>
          <w:sz w:val="18"/>
        </w:rPr>
        <w:t>std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/>
          <w:color w:val="800000"/>
          <w:sz w:val="18"/>
        </w:rPr>
        <w:t>max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/>
          <w:color w:val="800000"/>
          <w:sz w:val="18"/>
        </w:rPr>
        <w:t>min</w:t>
      </w:r>
      <w:r>
        <w:rPr>
          <w:rFonts w:ascii="宋体" w:hAnsi="宋体" w:eastAsia="宋体"/>
          <w:sz w:val="21"/>
        </w:rPr>
        <w:t xml:space="preserve">（共 </w:t>
      </w:r>
      <w:r>
        <w:rPr>
          <w:rFonts w:ascii="Consolas" w:hAnsi="Consolas"/>
          <w:color w:val="800000"/>
          <w:sz w:val="18"/>
        </w:rPr>
        <w:t>input_dim × 5 = 95</w:t>
      </w:r>
      <w:r>
        <w:rPr>
          <w:rFonts w:ascii="宋体" w:hAnsi="宋体" w:eastAsia="宋体"/>
          <w:sz w:val="21"/>
        </w:rPr>
        <w:t xml:space="preserve"> 维）。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两类特征拼接后送入任务头，为模型提供多尺度时序信息和输入分布信息。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5.8 same padding 默认部署说明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 xml:space="preserve">V1.0 默认部署使用 </w:t>
      </w:r>
      <w:r>
        <w:rPr>
          <w:rFonts w:ascii="Consolas" w:hAnsi="Consolas"/>
          <w:color w:val="800000"/>
          <w:sz w:val="18"/>
        </w:rPr>
        <w:t>temporal_padding = "same"</w:t>
      </w:r>
      <w:r>
        <w:rPr>
          <w:rFonts w:ascii="宋体" w:hAnsi="宋体" w:eastAsia="宋体"/>
          <w:sz w:val="21"/>
        </w:rPr>
        <w:t xml:space="preserve"> 模式。该模式下卷积输出序列长度与输入一致，便于 ONNX 导出和 MATLAB 导入。same padding 对应的 ONNX 算子主要由标准 Conv1d、BatchNorm、ReLU、Linear 等构成，兼容性好。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5.9 causal padding 消融说明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 xml:space="preserve">代码中同时实现了 </w:t>
      </w:r>
      <w:r>
        <w:rPr>
          <w:rFonts w:ascii="Consolas" w:hAnsi="Consolas"/>
          <w:color w:val="800000"/>
          <w:sz w:val="18"/>
        </w:rPr>
        <w:t>temporal_padding = "causal"</w:t>
      </w:r>
      <w:r>
        <w:rPr>
          <w:rFonts w:ascii="宋体" w:hAnsi="宋体" w:eastAsia="宋体"/>
          <w:sz w:val="21"/>
        </w:rPr>
        <w:t xml:space="preserve"> 模式的 </w:t>
      </w:r>
      <w:r>
        <w:rPr>
          <w:rFonts w:ascii="Consolas" w:hAnsi="Consolas"/>
          <w:color w:val="800000"/>
          <w:sz w:val="18"/>
        </w:rPr>
        <w:t>CausalDepthwiseConv1d</w:t>
      </w:r>
      <w:r>
        <w:rPr>
          <w:rFonts w:ascii="宋体" w:hAnsi="宋体" w:eastAsia="宋体"/>
          <w:sz w:val="21"/>
        </w:rPr>
        <w:t>，通过左侧填充 + Slice 保证因果性。该模式可作为扩展验证能力，在消融实验中评估因果卷积对感知精度的影响。V1.0 主申请材料以 same padding 的 seed 21 为主，causal 模型不作为默认部署模型。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第6章 训练与评估模块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6.1 单 seed 训练入口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 xml:space="preserve">单 seed 训练入口为 </w:t>
      </w:r>
      <w:r>
        <w:rPr>
          <w:rFonts w:ascii="Consolas" w:hAnsi="Consolas"/>
          <w:color w:val="800000"/>
          <w:sz w:val="18"/>
        </w:rPr>
        <w:t>src/ModernTCN/train_modern_tcn.py</w:t>
      </w:r>
      <w:r>
        <w:rPr>
          <w:rFonts w:ascii="宋体" w:hAnsi="宋体" w:eastAsia="宋体"/>
          <w:sz w:val="21"/>
        </w:rPr>
        <w:t>。该脚本接受命令行参数，加载数据集，构建 ModernTCN 模型，执行训练循环，保存 checkpoint 和训练历史。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主要参数包括数据集路径、seed、学习率、批大小、训练轮数和输出目录。训练过程记录训练集和验证集的损失函数和指标。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6.2 多 seed 训练入口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 xml:space="preserve">多 seed 训练入口为 </w:t>
      </w:r>
      <w:r>
        <w:rPr>
          <w:rFonts w:ascii="Consolas" w:hAnsi="Consolas"/>
          <w:color w:val="800000"/>
          <w:sz w:val="18"/>
        </w:rPr>
        <w:t>src/ModernTCN/run_modern_tcn_theta10_v2_multiseed.py</w:t>
      </w:r>
      <w:r>
        <w:rPr>
          <w:rFonts w:ascii="宋体" w:hAnsi="宋体" w:eastAsia="宋体"/>
          <w:sz w:val="21"/>
        </w:rPr>
        <w:t>。该脚本依次运行多个 seed 的训练，汇总各 seed 的指标，生成对比报告。多 seed 训练用于评估模型在不同随机初始化下的稳定性和泛化能力。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6.3 数据加载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 xml:space="preserve">数据加载模块 </w:t>
      </w:r>
      <w:r>
        <w:rPr>
          <w:rFonts w:ascii="Consolas" w:hAnsi="Consolas"/>
          <w:color w:val="800000"/>
          <w:sz w:val="18"/>
        </w:rPr>
        <w:t>src/ModernTCN/modern_tcn_data.py</w:t>
      </w:r>
      <w:r>
        <w:rPr>
          <w:rFonts w:ascii="宋体" w:hAnsi="宋体" w:eastAsia="宋体"/>
          <w:sz w:val="21"/>
        </w:rPr>
        <w:t xml:space="preserve"> 负责从 </w:t>
      </w:r>
      <w:r>
        <w:rPr>
          <w:rFonts w:ascii="Consolas" w:hAnsi="Consolas"/>
          <w:color w:val="800000"/>
          <w:sz w:val="18"/>
        </w:rPr>
        <w:t>.mat</w:t>
      </w:r>
      <w:r>
        <w:rPr>
          <w:rFonts w:ascii="宋体" w:hAnsi="宋体" w:eastAsia="宋体"/>
          <w:sz w:val="21"/>
        </w:rPr>
        <w:t xml:space="preserve"> 文件读取数据集，执行 run 级划分，构建 DataLoader。该模块同时检查数据契约中的 </w:t>
      </w:r>
      <w:r>
        <w:rPr>
          <w:rFonts w:ascii="Consolas" w:hAnsi="Consolas"/>
          <w:color w:val="800000"/>
          <w:sz w:val="18"/>
        </w:rPr>
        <w:t>seq_len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/>
          <w:color w:val="800000"/>
          <w:sz w:val="18"/>
        </w:rPr>
        <w:t>input_dim</w:t>
      </w:r>
      <w:r>
        <w:rPr>
          <w:rFonts w:ascii="宋体" w:hAnsi="宋体" w:eastAsia="宋体"/>
          <w:sz w:val="21"/>
        </w:rPr>
        <w:t>、标签映射和 split 策略，确保数据格式与训练配置一致。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6.4 损失函数与指标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 xml:space="preserve">损失函数与指标模块 </w:t>
      </w:r>
      <w:r>
        <w:rPr>
          <w:rFonts w:ascii="Consolas" w:hAnsi="Consolas"/>
          <w:color w:val="800000"/>
          <w:sz w:val="18"/>
        </w:rPr>
        <w:t>src/ModernTCN/modern_tcn_metrics.py</w:t>
      </w:r>
      <w:r>
        <w:rPr>
          <w:rFonts w:ascii="宋体" w:hAnsi="宋体" w:eastAsia="宋体"/>
          <w:sz w:val="21"/>
        </w:rPr>
        <w:t xml:space="preserve"> 定义多任务损失函数，包括：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主工况分类损失</w:t>
      </w:r>
      <w:r>
        <w:rPr>
          <w:rFonts w:ascii="宋体" w:hAnsi="宋体" w:eastAsia="宋体"/>
          <w:sz w:val="21"/>
        </w:rPr>
        <w:t>：交叉熵损失，支持类别权重和正负样本权重；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转向方向分类损失</w:t>
      </w:r>
      <w:r>
        <w:rPr>
          <w:rFonts w:ascii="宋体" w:hAnsi="宋体" w:eastAsia="宋体"/>
          <w:sz w:val="21"/>
        </w:rPr>
        <w:t>：交叉熵损失，支持类别权重；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坡度回归损失</w:t>
      </w:r>
      <w:r>
        <w:rPr>
          <w:rFonts w:ascii="宋体" w:hAnsi="宋体" w:eastAsia="宋体"/>
          <w:sz w:val="21"/>
        </w:rPr>
        <w:t>：MSE 或平滑 L1 损失，支持平坦区域加权和负坡度加权。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 xml:space="preserve">总损失为三项加权和，权重通过 </w:t>
      </w:r>
      <w:r>
        <w:rPr>
          <w:rFonts w:ascii="Consolas" w:hAnsi="Consolas"/>
          <w:color w:val="800000"/>
          <w:sz w:val="18"/>
        </w:rPr>
        <w:t>lambda_turn</w:t>
      </w:r>
      <w:r>
        <w:rPr>
          <w:rFonts w:ascii="宋体" w:hAnsi="宋体" w:eastAsia="宋体"/>
          <w:sz w:val="21"/>
        </w:rPr>
        <w:t xml:space="preserve"> 和 </w:t>
      </w:r>
      <w:r>
        <w:rPr>
          <w:rFonts w:ascii="Consolas" w:hAnsi="Consolas"/>
          <w:color w:val="800000"/>
          <w:sz w:val="18"/>
        </w:rPr>
        <w:t>lambda_theta</w:t>
      </w:r>
      <w:r>
        <w:rPr>
          <w:rFonts w:ascii="宋体" w:hAnsi="宋体" w:eastAsia="宋体"/>
          <w:sz w:val="21"/>
        </w:rPr>
        <w:t xml:space="preserve"> 等参数控制。评估指标包括准确率、F1 分数、MAE、RMSE 等。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6.5 checkpoint 保存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 xml:space="preserve">训练过程保存 checkpoint，包含模型状态字典、优化器状态、训练配置、数据契约和 scaler 参数。checkpoint 文件为 </w:t>
      </w:r>
      <w:r>
        <w:rPr>
          <w:rFonts w:ascii="Consolas" w:hAnsi="Consolas"/>
          <w:color w:val="800000"/>
          <w:sz w:val="18"/>
        </w:rPr>
        <w:t>.pt</w:t>
      </w:r>
      <w:r>
        <w:rPr>
          <w:rFonts w:ascii="宋体" w:hAnsi="宋体" w:eastAsia="宋体"/>
          <w:sz w:val="21"/>
        </w:rPr>
        <w:t xml:space="preserve"> 格式，可用于恢复训练或导出 ONNX。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6.6 summary 和 history 输出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训练完成后保存 summary CSV（各 seed 最终指标汇总）和 history CSV（训练过程损失和指标曲线数据）。这些文件用于生成训练报告和对比分析。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6.7 训练报告生成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多 seed 训练完成后自动生成训练报告，包括各 seed 的最佳验证指标、测试集指标、训练曲线和收敛情况。报告以 CSV 和文本格式保存到结果目录。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6.8 异常检查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训练脚本包含以下异常检查：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数据集文件是否存在；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数据契约中的参数是否与训练配置一致；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训练过程中损失是否出现 NaN 或 Inf；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checkpoint 保存是否成功。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第7章 ONNX 导出与一致性验证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7.1 ONNX 导出目标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 xml:space="preserve">ONNX 导出模块 </w:t>
      </w:r>
      <w:r>
        <w:rPr>
          <w:rFonts w:ascii="Consolas" w:hAnsi="Consolas"/>
          <w:color w:val="800000"/>
          <w:sz w:val="18"/>
        </w:rPr>
        <w:t>src/ModernTCN/export_modern_tcn_onnx.py</w:t>
      </w:r>
      <w:r>
        <w:rPr>
          <w:rFonts w:ascii="宋体" w:hAnsi="宋体" w:eastAsia="宋体"/>
          <w:sz w:val="21"/>
        </w:rPr>
        <w:t xml:space="preserve"> 将训练得到的 PyTorch checkpoint 转换为 ONNX 格式，用于 MATLAB 端在线推理。导出前强制调用 </w:t>
      </w:r>
      <w:r>
        <w:rPr>
          <w:rFonts w:ascii="Consolas" w:hAnsi="Consolas"/>
          <w:color w:val="800000"/>
          <w:sz w:val="18"/>
        </w:rPr>
        <w:t>model.eval()</w:t>
      </w:r>
      <w:r>
        <w:rPr>
          <w:rFonts w:ascii="宋体" w:hAnsi="宋体" w:eastAsia="宋体"/>
          <w:sz w:val="21"/>
        </w:rPr>
        <w:t xml:space="preserve"> 关闭 dropout，固定输入形状 </w:t>
      </w:r>
      <w:r>
        <w:rPr>
          <w:rFonts w:ascii="Consolas" w:hAnsi="Consolas"/>
          <w:color w:val="800000"/>
          <w:sz w:val="18"/>
        </w:rPr>
        <w:t>[1, 128, 19]</w:t>
      </w:r>
      <w:r>
        <w:rPr>
          <w:rFonts w:ascii="宋体" w:hAnsi="宋体" w:eastAsia="宋体"/>
          <w:sz w:val="21"/>
        </w:rPr>
        <w:t>，不启用 dynamic axes。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7.2 输入输出名称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ONNX 模型的输入输出名称固定为：</w:t>
      </w:r>
    </w:p>
    <w:p>
      <w:pPr>
        <w:pStyle w:val="ListBullet"/>
        <w:spacing w:line="300" w:lineRule="auto"/>
      </w:pPr>
      <w:r>
        <w:rPr>
          <w:rFonts w:ascii="宋体" w:hAnsi="宋体" w:eastAsia="宋体"/>
          <w:sz w:val="21"/>
        </w:rPr>
        <w:t>输入：</w:t>
      </w:r>
      <w:r>
        <w:rPr>
          <w:rFonts w:ascii="Consolas" w:hAnsi="Consolas"/>
          <w:color w:val="800000"/>
          <w:sz w:val="18"/>
        </w:rPr>
        <w:t>input_window</w:t>
      </w:r>
      <w:r>
        <w:rPr>
          <w:rFonts w:ascii="宋体" w:hAnsi="宋体" w:eastAsia="宋体"/>
          <w:sz w:val="21"/>
        </w:rPr>
        <w:t xml:space="preserve">，形状 </w:t>
      </w:r>
      <w:r>
        <w:rPr>
          <w:rFonts w:ascii="Consolas" w:hAnsi="Consolas"/>
          <w:color w:val="800000"/>
          <w:sz w:val="18"/>
        </w:rPr>
        <w:t>[1, 128, 19]</w:t>
      </w:r>
      <w:r>
        <w:rPr>
          <w:rFonts w:ascii="宋体" w:hAnsi="宋体" w:eastAsia="宋体"/>
          <w:sz w:val="21"/>
        </w:rPr>
        <w:t>，float32；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sz w:val="21"/>
        </w:rPr>
        <w:t>输出：</w:t>
      </w:r>
      <w:r>
        <w:rPr>
          <w:rFonts w:ascii="Consolas" w:hAnsi="Consolas"/>
          <w:color w:val="800000"/>
          <w:sz w:val="18"/>
        </w:rPr>
        <w:t>logits_main</w:t>
      </w:r>
      <w:r>
        <w:rPr>
          <w:rFonts w:ascii="宋体" w:hAnsi="宋体" w:eastAsia="宋体"/>
          <w:sz w:val="21"/>
        </w:rPr>
        <w:t xml:space="preserve"> </w:t>
      </w:r>
      <w:r>
        <w:rPr>
          <w:rFonts w:ascii="Consolas" w:hAnsi="Consolas"/>
          <w:color w:val="800000"/>
          <w:sz w:val="18"/>
        </w:rPr>
        <w:t>[1, 3]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/>
          <w:color w:val="800000"/>
          <w:sz w:val="18"/>
        </w:rPr>
        <w:t>logits_turn</w:t>
      </w:r>
      <w:r>
        <w:rPr>
          <w:rFonts w:ascii="宋体" w:hAnsi="宋体" w:eastAsia="宋体"/>
          <w:sz w:val="21"/>
        </w:rPr>
        <w:t xml:space="preserve"> </w:t>
      </w:r>
      <w:r>
        <w:rPr>
          <w:rFonts w:ascii="Consolas" w:hAnsi="Consolas"/>
          <w:color w:val="800000"/>
          <w:sz w:val="18"/>
        </w:rPr>
        <w:t>[1, 3]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/>
          <w:color w:val="800000"/>
          <w:sz w:val="18"/>
        </w:rPr>
        <w:t>theta_hat</w:t>
      </w:r>
      <w:r>
        <w:rPr>
          <w:rFonts w:ascii="宋体" w:hAnsi="宋体" w:eastAsia="宋体"/>
          <w:sz w:val="21"/>
        </w:rPr>
        <w:t xml:space="preserve"> </w:t>
      </w:r>
      <w:r>
        <w:rPr>
          <w:rFonts w:ascii="Consolas" w:hAnsi="Consolas"/>
          <w:color w:val="800000"/>
          <w:sz w:val="18"/>
        </w:rPr>
        <w:t>[1, 1]</w:t>
      </w:r>
      <w:r>
        <w:rPr>
          <w:rFonts w:ascii="宋体" w:hAnsi="宋体" w:eastAsia="宋体"/>
          <w:sz w:val="21"/>
        </w:rPr>
        <w:t>，float32。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7.3 PyTorch 参考输出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 xml:space="preserve">导出 ONNX 时同时保存 PyTorch 参考输出 </w:t>
      </w:r>
      <w:r>
        <w:rPr>
          <w:rFonts w:ascii="Consolas" w:hAnsi="Consolas"/>
          <w:color w:val="800000"/>
          <w:sz w:val="18"/>
        </w:rPr>
        <w:t>.mat</w:t>
      </w:r>
      <w:r>
        <w:rPr>
          <w:rFonts w:ascii="宋体" w:hAnsi="宋体" w:eastAsia="宋体"/>
          <w:sz w:val="21"/>
        </w:rPr>
        <w:t xml:space="preserve"> 文件，包含测试集样本的输入 </w:t>
      </w:r>
      <w:r>
        <w:rPr>
          <w:rFonts w:ascii="Consolas" w:hAnsi="Consolas"/>
          <w:color w:val="800000"/>
          <w:sz w:val="18"/>
        </w:rPr>
        <w:t>X_sample</w:t>
      </w:r>
      <w:r>
        <w:rPr>
          <w:rFonts w:ascii="宋体" w:hAnsi="宋体" w:eastAsia="宋体"/>
          <w:sz w:val="21"/>
        </w:rPr>
        <w:t xml:space="preserve"> 和 PyTorch 推理结果 </w:t>
      </w:r>
      <w:r>
        <w:rPr>
          <w:rFonts w:ascii="Consolas" w:hAnsi="Consolas"/>
          <w:color w:val="800000"/>
          <w:sz w:val="18"/>
        </w:rPr>
        <w:t>logits_main_pytorch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/>
          <w:color w:val="800000"/>
          <w:sz w:val="18"/>
        </w:rPr>
        <w:t>logits_turn_pytorch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/>
          <w:color w:val="800000"/>
          <w:sz w:val="18"/>
        </w:rPr>
        <w:t>theta_hat_pytorch</w:t>
      </w:r>
      <w:r>
        <w:rPr>
          <w:rFonts w:ascii="宋体" w:hAnsi="宋体" w:eastAsia="宋体"/>
          <w:sz w:val="21"/>
        </w:rPr>
        <w:t>。该文件用于后续一致性检查。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7.4 ONNXRuntime 一致性检查</w:t>
      </w:r>
    </w:p>
    <w:p>
      <w:pPr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Consolas" w:hAnsi="Consolas"/>
          <w:color w:val="800000"/>
          <w:sz w:val="18"/>
        </w:rPr>
        <w:t>src/ModernTCN/check_onnxruntime_consistency.py</w:t>
      </w:r>
      <w:r>
        <w:rPr>
          <w:rFonts w:ascii="宋体" w:hAnsi="宋体" w:eastAsia="宋体"/>
          <w:sz w:val="21"/>
        </w:rPr>
        <w:t xml:space="preserve"> 加载 ONNX 模型和 PyTorch 参考输出，使用 ONNXRuntime 对相同样本进行推理，逐输出比较最大绝对误差和相对误差。一致性阈值默认为 </w:t>
      </w:r>
      <w:r>
        <w:rPr>
          <w:rFonts w:ascii="Consolas" w:hAnsi="Consolas"/>
          <w:color w:val="800000"/>
          <w:sz w:val="18"/>
        </w:rPr>
        <w:t>atol=1e-5, rtol=1e-4</w:t>
      </w:r>
      <w:r>
        <w:rPr>
          <w:rFonts w:ascii="宋体" w:hAnsi="宋体" w:eastAsia="宋体"/>
          <w:sz w:val="21"/>
        </w:rPr>
        <w:t>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7.5 MATLAB ONNX 一致性检查</w:t>
      </w:r>
    </w:p>
    <w:p>
      <w:pPr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Consolas" w:hAnsi="Consolas"/>
          <w:color w:val="800000"/>
          <w:sz w:val="18"/>
        </w:rPr>
        <w:t>src/ModernTCN/ModernTCN_check_matlab_onnx.m</w:t>
      </w:r>
      <w:r>
        <w:rPr>
          <w:rFonts w:ascii="宋体" w:hAnsi="宋体" w:eastAsia="宋体"/>
          <w:sz w:val="21"/>
        </w:rPr>
        <w:t xml:space="preserve"> 在 MATLAB 端加载 ONNX 模型，读取 PyTorch 参考输出，逐窗口比较 MATLAB ONNX 推理结果与 PyTorch 输出的差异。该检查验证 ONNX 模型在 MATLAB 导入后的数值一致性。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7.6 部署文件冻结规则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默认部署模型为 seed 21，对应：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run_tag = modern_tcn_theta10_uniform_h0_v2_seed21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ONNX文件 = results/modern_tcn/modern_tcn_theta10_uniform_h0_v2_seed21/modern_tcn_seed21.onnx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部署冻结后不再修改 ONNX 文件和对应的 scaler 参数。如需测试其他 checkpoint，可在调用脚本中传入覆盖参数。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7.7 自动生成层的处理边界</w:t>
      </w:r>
    </w:p>
    <w:p>
      <w:pPr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Consolas" w:hAnsi="Consolas"/>
          <w:color w:val="800000"/>
          <w:sz w:val="18"/>
        </w:rPr>
        <w:t>src/ModernTCN/generated_layers/</w:t>
      </w:r>
      <w:r>
        <w:rPr>
          <w:rFonts w:ascii="宋体" w:hAnsi="宋体" w:eastAsia="宋体"/>
          <w:sz w:val="21"/>
        </w:rPr>
        <w:t xml:space="preserve"> 目录包含 MATLAB 导入 ONNX 后自动生成的兼容层代码。这些文件不作为本软件自有源程序主体，在源码鉴别材料中默认排除。若在说明书中引用，仅标注为"自动生成兼容层，不作为自有源程序主体"。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第8章 MATLAB 在线推理模块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8.1 默认配置加载</w:t>
      </w:r>
    </w:p>
    <w:p>
      <w:pPr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Consolas" w:hAnsi="Consolas"/>
          <w:color w:val="800000"/>
          <w:sz w:val="18"/>
        </w:rPr>
        <w:t>src/ModernTCN/ModernTCN_default_config.m</w:t>
      </w:r>
      <w:r>
        <w:rPr>
          <w:rFonts w:ascii="宋体" w:hAnsi="宋体" w:eastAsia="宋体"/>
          <w:sz w:val="21"/>
        </w:rPr>
        <w:t xml:space="preserve"> 定义默认部署配置，包括 seed、run_tag、数据集路径、ONNX 文件路径和 theta 输出调理参数：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seed = 21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run_tag = 'modern_tcn_theta10_uniform_h0_v2_seed21'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theta_output_gain = 1.0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theta_abs_limit = deg2rad(12.0)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theta_rate_limit = deg2rad(5.0)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theta_mpc_deadzone = deg2rad(2.0)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8.2 predictor 加载</w:t>
      </w:r>
    </w:p>
    <w:p>
      <w:pPr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Consolas" w:hAnsi="Consolas"/>
          <w:color w:val="800000"/>
          <w:sz w:val="18"/>
        </w:rPr>
        <w:t>src/ModernTCN/ModernTCN_load_predictor.m</w:t>
      </w:r>
      <w:r>
        <w:rPr>
          <w:rFonts w:ascii="宋体" w:hAnsi="宋体" w:eastAsia="宋体"/>
          <w:sz w:val="21"/>
        </w:rPr>
        <w:t xml:space="preserve"> 加载 ONNX 模型文件，返回 MATLAB 可调用的 predictor 对象。加载时检查 ONNX 文件是否存在，若不存在则报错提示。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8.3 在线窗口维护</w:t>
      </w:r>
    </w:p>
    <w:p>
      <w:pPr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Consolas" w:hAnsi="Consolas"/>
          <w:color w:val="800000"/>
          <w:sz w:val="18"/>
        </w:rPr>
        <w:t>src/ModernTCN/ModernTCN_online_step.m</w:t>
      </w:r>
      <w:r>
        <w:rPr>
          <w:rFonts w:ascii="宋体" w:hAnsi="宋体" w:eastAsia="宋体"/>
          <w:sz w:val="21"/>
        </w:rPr>
        <w:t xml:space="preserve"> 是在线推理的核心封装。每个控制周期，该函数：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从 y_raw 提取 19 维可观测特征；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使用 scaler 参数进行归一化；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维护 128 步滑动窗口（先进先出）；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按需调用 ONNX predictor 完成推理。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 xml:space="preserve">函数使用 MATLAB </w:t>
      </w:r>
      <w:r>
        <w:rPr>
          <w:rFonts w:ascii="Consolas" w:hAnsi="Consolas"/>
          <w:color w:val="800000"/>
          <w:sz w:val="18"/>
        </w:rPr>
        <w:t>persistent</w:t>
      </w:r>
      <w:r>
        <w:rPr>
          <w:rFonts w:ascii="宋体" w:hAnsi="宋体" w:eastAsia="宋体"/>
          <w:sz w:val="21"/>
        </w:rPr>
        <w:t xml:space="preserve"> 变量保存在线状态，支持 reset 和 seed 切换。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8.4 单窗口预测</w:t>
      </w:r>
    </w:p>
    <w:p>
      <w:pPr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Consolas" w:hAnsi="Consolas"/>
          <w:color w:val="800000"/>
          <w:sz w:val="18"/>
        </w:rPr>
        <w:t>src/ModernTCN/ModernTCN_predict_window.m</w:t>
      </w:r>
      <w:r>
        <w:rPr>
          <w:rFonts w:ascii="宋体" w:hAnsi="宋体" w:eastAsia="宋体"/>
          <w:sz w:val="21"/>
        </w:rPr>
        <w:t xml:space="preserve"> 接受已组织好的 </w:t>
      </w:r>
      <w:r>
        <w:rPr>
          <w:rFonts w:ascii="Consolas" w:hAnsi="Consolas"/>
          <w:color w:val="800000"/>
          <w:sz w:val="18"/>
        </w:rPr>
        <w:t>[128, 19]</w:t>
      </w:r>
      <w:r>
        <w:rPr>
          <w:rFonts w:ascii="宋体" w:hAnsi="宋体" w:eastAsia="宋体"/>
          <w:sz w:val="21"/>
        </w:rPr>
        <w:t xml:space="preserve"> 归一化窗口，调用 ONNX predictor 输出三任务预测结果。该函数用于在线推理和离线批量评估。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8.5 状态分类器</w:t>
      </w:r>
    </w:p>
    <w:p>
      <w:pPr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Consolas" w:hAnsi="Consolas"/>
          <w:color w:val="800000"/>
          <w:sz w:val="18"/>
        </w:rPr>
        <w:t>src/ModernTCN/ModernTCN_state_classifier.m</w:t>
      </w:r>
      <w:r>
        <w:rPr>
          <w:rFonts w:ascii="宋体" w:hAnsi="宋体" w:eastAsia="宋体"/>
          <w:sz w:val="21"/>
        </w:rPr>
        <w:t xml:space="preserve"> 实现完整的在线工况识别状态机，功能包括：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初始化</w:t>
      </w:r>
      <w:r>
        <w:rPr>
          <w:rFonts w:ascii="宋体" w:hAnsi="宋体" w:eastAsia="宋体"/>
          <w:sz w:val="21"/>
        </w:rPr>
        <w:t>（</w:t>
      </w:r>
      <w:r>
        <w:rPr>
          <w:rFonts w:ascii="Consolas" w:hAnsi="Consolas"/>
          <w:color w:val="800000"/>
          <w:sz w:val="18"/>
        </w:rPr>
        <w:t>'init'</w:t>
      </w:r>
      <w:r>
        <w:rPr>
          <w:rFonts w:ascii="宋体" w:hAnsi="宋体" w:eastAsia="宋体"/>
          <w:sz w:val="21"/>
        </w:rPr>
        <w:t>）：加载配置、数据集、scaler 和 predictor，初始化滑动窗口；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更新</w:t>
      </w:r>
      <w:r>
        <w:rPr>
          <w:rFonts w:ascii="宋体" w:hAnsi="宋体" w:eastAsia="宋体"/>
          <w:sz w:val="21"/>
        </w:rPr>
        <w:t>（</w:t>
      </w:r>
      <w:r>
        <w:rPr>
          <w:rFonts w:ascii="Consolas" w:hAnsi="Consolas"/>
          <w:color w:val="800000"/>
          <w:sz w:val="18"/>
        </w:rPr>
        <w:t>'update'</w:t>
      </w:r>
      <w:r>
        <w:rPr>
          <w:rFonts w:ascii="宋体" w:hAnsi="宋体" w:eastAsia="宋体"/>
          <w:sz w:val="21"/>
        </w:rPr>
        <w:t>）：从单帧 y_raw 提取特征、归一化、更新窗口、推理、解码 logits。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状态分类器输出包括：</w:t>
      </w:r>
    </w:p>
    <w:p>
      <w:pPr>
        <w:pStyle w:val="ListBullet"/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Consolas" w:hAnsi="Consolas"/>
          <w:color w:val="800000"/>
          <w:sz w:val="18"/>
        </w:rPr>
        <w:t>label_main</w:t>
      </w:r>
      <w:r>
        <w:rPr>
          <w:rFonts w:ascii="宋体" w:hAnsi="宋体" w:eastAsia="宋体"/>
          <w:sz w:val="21"/>
        </w:rPr>
        <w:t>：主工况标签（1=flat, 2=stall, 3=slope）；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Consolas" w:hAnsi="Consolas"/>
          <w:color w:val="800000"/>
          <w:sz w:val="18"/>
        </w:rPr>
        <w:t>label_turn</w:t>
      </w:r>
      <w:r>
        <w:rPr>
          <w:rFonts w:ascii="宋体" w:hAnsi="宋体" w:eastAsia="宋体"/>
          <w:sz w:val="21"/>
        </w:rPr>
        <w:t>：转向方向标签（-1=right, 0=straight, 1=left）；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Consolas" w:hAnsi="Consolas"/>
          <w:color w:val="800000"/>
          <w:sz w:val="18"/>
        </w:rPr>
        <w:t>theta_hat_rad</w:t>
      </w:r>
      <w:r>
        <w:rPr>
          <w:rFonts w:ascii="宋体" w:hAnsi="宋体" w:eastAsia="宋体"/>
          <w:sz w:val="21"/>
        </w:rPr>
        <w:t>：坡度调度量（弧度）；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Consolas" w:hAnsi="Consolas"/>
          <w:color w:val="800000"/>
          <w:sz w:val="18"/>
        </w:rPr>
        <w:t>conf_main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/>
          <w:color w:val="800000"/>
          <w:sz w:val="18"/>
        </w:rPr>
        <w:t>conf_turn</w:t>
      </w:r>
      <w:r>
        <w:rPr>
          <w:rFonts w:ascii="宋体" w:hAnsi="宋体" w:eastAsia="宋体"/>
          <w:sz w:val="21"/>
        </w:rPr>
        <w:t>：分类置信度；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Consolas" w:hAnsi="Consolas"/>
          <w:color w:val="800000"/>
          <w:sz w:val="18"/>
        </w:rPr>
        <w:t>buffer_count</w:t>
      </w:r>
      <w:r>
        <w:rPr>
          <w:rFonts w:ascii="宋体" w:hAnsi="宋体" w:eastAsia="宋体"/>
          <w:sz w:val="21"/>
        </w:rPr>
        <w:t>：当前窗口填充数；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Consolas" w:hAnsi="Consolas"/>
          <w:color w:val="800000"/>
          <w:sz w:val="18"/>
        </w:rPr>
        <w:t>ready</w:t>
      </w:r>
      <w:r>
        <w:rPr>
          <w:rFonts w:ascii="宋体" w:hAnsi="宋体" w:eastAsia="宋体"/>
          <w:sz w:val="21"/>
        </w:rPr>
        <w:t>：窗口是否已满。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8.6 theta 输出调理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状态分类器对 theta_hat 进行以下调理：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增益调整</w:t>
      </w:r>
      <w:r>
        <w:rPr>
          <w:rFonts w:ascii="宋体" w:hAnsi="宋体" w:eastAsia="宋体"/>
          <w:sz w:val="21"/>
        </w:rPr>
        <w:t>：</w:t>
      </w:r>
      <w:r>
        <w:rPr>
          <w:rFonts w:ascii="Consolas" w:hAnsi="Consolas"/>
          <w:color w:val="800000"/>
          <w:sz w:val="18"/>
        </w:rPr>
        <w:t>theta_hat = theta_hat × theta_output_gain</w:t>
      </w:r>
      <w:r>
        <w:rPr>
          <w:rFonts w:ascii="宋体" w:hAnsi="宋体" w:eastAsia="宋体"/>
          <w:sz w:val="21"/>
        </w:rPr>
        <w:t>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绝对值限幅</w:t>
      </w:r>
      <w:r>
        <w:rPr>
          <w:rFonts w:ascii="宋体" w:hAnsi="宋体" w:eastAsia="宋体"/>
          <w:sz w:val="21"/>
        </w:rPr>
        <w:t xml:space="preserve">：限制在 </w:t>
      </w:r>
      <w:r>
        <w:rPr>
          <w:rFonts w:ascii="Consolas" w:hAnsi="Consolas"/>
          <w:color w:val="800000"/>
          <w:sz w:val="18"/>
        </w:rPr>
        <w:t>[-theta_abs_limit, +theta_abs_limit]</w:t>
      </w:r>
      <w:r>
        <w:rPr>
          <w:rFonts w:ascii="宋体" w:hAnsi="宋体" w:eastAsia="宋体"/>
          <w:sz w:val="21"/>
        </w:rPr>
        <w:t xml:space="preserve"> 范围内；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变化率约束</w:t>
      </w:r>
      <w:r>
        <w:rPr>
          <w:rFonts w:ascii="宋体" w:hAnsi="宋体" w:eastAsia="宋体"/>
          <w:sz w:val="21"/>
        </w:rPr>
        <w:t xml:space="preserve">：相邻时刻变化量不超过 </w:t>
      </w:r>
      <w:r>
        <w:rPr>
          <w:rFonts w:ascii="Consolas" w:hAnsi="Consolas"/>
          <w:color w:val="800000"/>
          <w:sz w:val="18"/>
        </w:rPr>
        <w:t>theta_rate_limit</w:t>
      </w:r>
      <w:r>
        <w:rPr>
          <w:rFonts w:ascii="宋体" w:hAnsi="宋体" w:eastAsia="宋体"/>
          <w:sz w:val="21"/>
        </w:rPr>
        <w:t>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死区处理</w:t>
      </w:r>
      <w:r>
        <w:rPr>
          <w:rFonts w:ascii="宋体" w:hAnsi="宋体" w:eastAsia="宋体"/>
          <w:sz w:val="21"/>
        </w:rPr>
        <w:t xml:space="preserve">：绝对值小于 </w:t>
      </w:r>
      <w:r>
        <w:rPr>
          <w:rFonts w:ascii="Consolas" w:hAnsi="Consolas"/>
          <w:color w:val="800000"/>
          <w:sz w:val="18"/>
        </w:rPr>
        <w:t>theta_mpc_deadzone</w:t>
      </w:r>
      <w:r>
        <w:rPr>
          <w:rFonts w:ascii="宋体" w:hAnsi="宋体" w:eastAsia="宋体"/>
          <w:sz w:val="21"/>
        </w:rPr>
        <w:t xml:space="preserve"> 时置零。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8.7 限幅、deadzone 与变化率约束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限幅防止 theta 输出超出合理坡度范围；deadzone 避免微小坡度估计引起 MPC 频繁调度；变化率约束防止 theta 突变导致控制不平滑。这些调理措施保证感知输出适合闭环控制使用。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8.8 Simulink 包装函数</w:t>
      </w:r>
    </w:p>
    <w:p>
      <w:pPr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Consolas" w:hAnsi="Consolas"/>
          <w:color w:val="800000"/>
          <w:sz w:val="18"/>
        </w:rPr>
        <w:t>src/ModernTCN/ModernTCN_State_Classifier_sim.m</w:t>
      </w:r>
      <w:r>
        <w:rPr>
          <w:rFonts w:ascii="宋体" w:hAnsi="宋体" w:eastAsia="宋体"/>
          <w:sz w:val="21"/>
        </w:rPr>
        <w:t xml:space="preserve"> 是 Simulink MATLAB Function 块的薄包装，调用 </w:t>
      </w:r>
      <w:r>
        <w:rPr>
          <w:rFonts w:ascii="Consolas" w:hAnsi="Consolas"/>
          <w:color w:val="800000"/>
          <w:sz w:val="18"/>
        </w:rPr>
        <w:t>ModernTCN_online_step</w:t>
      </w:r>
      <w:r>
        <w:rPr>
          <w:rFonts w:ascii="宋体" w:hAnsi="宋体" w:eastAsia="宋体"/>
          <w:sz w:val="21"/>
        </w:rPr>
        <w:t xml:space="preserve"> 完成在线推理。该函数将 Simulink 信号转换为函数调用格式，并将结果写入 base workspace 供后续模块读取。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第9章 闭环验证接口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9.1 验证平台说明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AGV 车辆模型、LPV 线性化、MPC 控制器和 Simulink 闭环模型在本软件中作为验证平台和接口环境。该平台用于检查 ModernTCN 感知输出在闭环控制场景中的可调用性和稳定性，不是本软件的主体功能。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9.2 preloadfcn_modern_tcn</w:t>
      </w:r>
    </w:p>
    <w:p>
      <w:pPr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Consolas" w:hAnsi="Consolas"/>
          <w:color w:val="800000"/>
          <w:sz w:val="18"/>
        </w:rPr>
        <w:t>src/core/preloadfcn_modern_tcn.m</w:t>
      </w:r>
      <w:r>
        <w:rPr>
          <w:rFonts w:ascii="宋体" w:hAnsi="宋体" w:eastAsia="宋体"/>
          <w:sz w:val="21"/>
        </w:rPr>
        <w:t xml:space="preserve"> 是 Simulink 模型的预加载函数，负责初始化 ModernTCN 在线推理状态。该函数在 Simulink 模型加载时自动执行，调用 </w:t>
      </w:r>
      <w:r>
        <w:rPr>
          <w:rFonts w:ascii="Consolas" w:hAnsi="Consolas"/>
          <w:color w:val="800000"/>
          <w:sz w:val="18"/>
        </w:rPr>
        <w:t>ModernTCN_state_classifier('init', params)</w:t>
      </w:r>
      <w:r>
        <w:rPr>
          <w:rFonts w:ascii="宋体" w:hAnsi="宋体" w:eastAsia="宋体"/>
          <w:sz w:val="21"/>
        </w:rPr>
        <w:t xml:space="preserve"> 完成配置和 predictor 加载。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9.3 Simulink 模型接口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 xml:space="preserve">Simulink 模型通过 MATLAB Function 块调用 </w:t>
      </w:r>
      <w:r>
        <w:rPr>
          <w:rFonts w:ascii="Consolas" w:hAnsi="Consolas"/>
          <w:color w:val="800000"/>
          <w:sz w:val="18"/>
        </w:rPr>
        <w:t>ModernTCN_State_Classifier_sim.m</w:t>
      </w:r>
      <w:r>
        <w:rPr>
          <w:rFonts w:ascii="宋体" w:hAnsi="宋体" w:eastAsia="宋体"/>
          <w:sz w:val="21"/>
        </w:rPr>
        <w:t>，在每个仿真步获取工况标签、转向标签和 theta 调度量。感知输出通过 Simulink 信号线传递给 LPV-MPC 调度模块。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9.4 与 LPV-MPC 调度量的接口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 xml:space="preserve">theta_hat 作为坡度调度量传递给 LPV-MPC 控制器，用于更新线性化网格点的权重和控制律。该接口通过 </w:t>
      </w:r>
      <w:r>
        <w:rPr>
          <w:rFonts w:ascii="Consolas" w:hAnsi="Consolas"/>
          <w:color w:val="800000"/>
          <w:sz w:val="18"/>
        </w:rPr>
        <w:t>mpc_update_from_rho.m</w:t>
      </w:r>
      <w:r>
        <w:rPr>
          <w:rFonts w:ascii="宋体" w:hAnsi="宋体" w:eastAsia="宋体"/>
          <w:sz w:val="21"/>
        </w:rPr>
        <w:t xml:space="preserve"> 实现，theta_hat 经过调理后作为 rho 调度变量参与 MPC 在线更新。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9.5 输出日志与结果分析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闭环仿真完成后，</w:t>
      </w:r>
      <w:r>
        <w:rPr>
          <w:rFonts w:ascii="Consolas" w:hAnsi="Consolas"/>
          <w:color w:val="800000"/>
          <w:sz w:val="18"/>
        </w:rPr>
        <w:t>logsout</w:t>
      </w:r>
      <w:r>
        <w:rPr>
          <w:rFonts w:ascii="宋体" w:hAnsi="宋体" w:eastAsia="宋体"/>
          <w:sz w:val="21"/>
        </w:rPr>
        <w:t xml:space="preserve"> 记录各时刻的工况标签、转向标签、theta_hat、控制输入和车辆状态。</w:t>
      </w:r>
      <w:r>
        <w:rPr>
          <w:rFonts w:ascii="Consolas" w:hAnsi="Consolas"/>
          <w:color w:val="800000"/>
          <w:sz w:val="18"/>
        </w:rPr>
        <w:t>ModernTCN_analyze_closed_loop_out.m</w:t>
      </w:r>
      <w:r>
        <w:rPr>
          <w:rFonts w:ascii="宋体" w:hAnsi="宋体" w:eastAsia="宋体"/>
          <w:sz w:val="21"/>
        </w:rPr>
        <w:t xml:space="preserve"> 解析 logsout，计算工况识别准确率、theta 估计误差和轨迹跟踪指标。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9.6 闭环验证不是本软件主体的说明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本软件的核心功能是 ModernTCN 多任务时序感知模型的训练、导出、在线推理和接口封装。AGV 车辆模型、LPV-MPC 和 Simulink 闭环模型仅作为验证环境，用于检查感知输出的可用性。闭环验证平台的详细设计不属于本说明书的主线范围。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第10章 结果分析与报告模块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10.1 闭环输出分析</w:t>
      </w:r>
    </w:p>
    <w:p>
      <w:pPr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Consolas" w:hAnsi="Consolas"/>
          <w:color w:val="800000"/>
          <w:sz w:val="18"/>
        </w:rPr>
        <w:t>src/ModernTCN/ModernTCN_analyze_closed_loop_out.m</w:t>
      </w:r>
      <w:r>
        <w:rPr>
          <w:rFonts w:ascii="宋体" w:hAnsi="宋体" w:eastAsia="宋体"/>
          <w:sz w:val="21"/>
        </w:rPr>
        <w:t xml:space="preserve"> 解析闭环仿真 logsout，提取工况分类序列、转向分类序列和 theta_hat 时间序列，计算分类准确率、theta MAE/RMSE 和轨迹跟踪误差。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10.2 yraw 回放</w:t>
      </w:r>
    </w:p>
    <w:p>
      <w:pPr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Consolas" w:hAnsi="Consolas"/>
          <w:color w:val="800000"/>
          <w:sz w:val="18"/>
        </w:rPr>
        <w:t>src/ModernTCN/ModernTCN_replay_closed_loop_yraw.m</w:t>
      </w:r>
      <w:r>
        <w:rPr>
          <w:rFonts w:ascii="宋体" w:hAnsi="宋体" w:eastAsia="宋体"/>
          <w:sz w:val="21"/>
        </w:rPr>
        <w:t xml:space="preserve"> 从保存的 yraw 日志中回放在线推理过程，用于调试和验证。回放模式不依赖 Simulink 模型，可在纯 MATLAB 环境中运行。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10.3 theta 散点图</w:t>
      </w:r>
    </w:p>
    <w:p>
      <w:pPr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Consolas" w:hAnsi="Consolas"/>
          <w:color w:val="800000"/>
          <w:sz w:val="18"/>
        </w:rPr>
        <w:t>src/ModernTCN/plot_modern_tcn_theta_scatter.m</w:t>
      </w:r>
      <w:r>
        <w:rPr>
          <w:rFonts w:ascii="宋体" w:hAnsi="宋体" w:eastAsia="宋体"/>
          <w:sz w:val="21"/>
        </w:rPr>
        <w:t xml:space="preserve"> 绘制 theta_hat 与真实坡度的散点图，用于可视化评估坡度回归精度。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10.4 theta sweep 评估</w:t>
      </w:r>
    </w:p>
    <w:p>
      <w:pPr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Consolas" w:hAnsi="Consolas"/>
          <w:color w:val="800000"/>
          <w:sz w:val="18"/>
        </w:rPr>
        <w:t>src/ModernTCN/eval_modern_tcn_theta_sweep_plot.m</w:t>
      </w:r>
      <w:r>
        <w:rPr>
          <w:rFonts w:ascii="宋体" w:hAnsi="宋体" w:eastAsia="宋体"/>
          <w:sz w:val="21"/>
        </w:rPr>
        <w:t xml:space="preserve"> 在不同坡度条件下的闭环仿真结果上评估 theta 估计性能，生成坡度 sweep 对比图。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10.5 实时性测试</w:t>
      </w:r>
    </w:p>
    <w:p>
      <w:pPr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Consolas" w:hAnsi="Consolas"/>
          <w:color w:val="800000"/>
          <w:sz w:val="18"/>
        </w:rPr>
        <w:t>src/Compare/benchmark_modern_tcn_onnx_runtime.py</w:t>
      </w:r>
      <w:r>
        <w:rPr>
          <w:rFonts w:ascii="宋体" w:hAnsi="宋体" w:eastAsia="宋体"/>
          <w:sz w:val="21"/>
        </w:rPr>
        <w:t xml:space="preserve"> 测量 ONNXRuntime 单窗口推理延迟。</w:t>
      </w:r>
      <w:r>
        <w:rPr>
          <w:rFonts w:ascii="Consolas" w:hAnsi="Consolas"/>
          <w:color w:val="800000"/>
          <w:sz w:val="18"/>
        </w:rPr>
        <w:t>src/Compare/run_realtime_benchmark.m</w:t>
      </w:r>
      <w:r>
        <w:rPr>
          <w:rFonts w:ascii="宋体" w:hAnsi="宋体" w:eastAsia="宋体"/>
          <w:sz w:val="21"/>
        </w:rPr>
        <w:t xml:space="preserve"> 在 MATLAB 端测量核心链路（ONNX 推理 + MPC 求解）的计算时间，评估相对于 10ms 控制周期的计算余量。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10.6 与 GRU/TCN 比较的边界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本软件提供 GRU 和 TCN 对照算法的闭环比较入口，但 GRU/TCN 训练和推理源码不属于本申请包的主体。比较结果仅用于验证 ModernTCN 感知输出的相对性能，GRU/TCN 的详细实现属于另一个独立的软著申请包。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第11章 用户使用说明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11.1 初始化项目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在 MATLAB 中切换到项目根目录后运行：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init_project;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root = project_root();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out_dir = results_dir();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11.2 检查数据集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当前主线数据集为：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data/tcn/ModernTCN_dataset_agv_dualsteer_theta10_uniform_conf_h0_v2.mat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 xml:space="preserve">用户应优先检查数据契约中的 </w:t>
      </w:r>
      <w:r>
        <w:rPr>
          <w:rFonts w:ascii="Consolas" w:hAnsi="Consolas"/>
          <w:color w:val="800000"/>
          <w:sz w:val="18"/>
        </w:rPr>
        <w:t>Ts=0.01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/>
          <w:color w:val="800000"/>
          <w:sz w:val="18"/>
        </w:rPr>
        <w:t>seq_len=128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/>
          <w:color w:val="800000"/>
          <w:sz w:val="18"/>
        </w:rPr>
        <w:t>input_dim=19</w:t>
      </w:r>
      <w:r>
        <w:rPr>
          <w:rFonts w:ascii="宋体" w:hAnsi="宋体" w:eastAsia="宋体"/>
          <w:sz w:val="21"/>
        </w:rPr>
        <w:t>、标签映射、split 策略和 scaler 策略。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11.3 训练 ModernTCN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Python 单 seed 训练入口为：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python src/ModernTCN/train_modern_tcn.py --dataset-file data/tcn/ModernTCN_dataset_agv_dualsteer_theta10_uniform_conf_h0_v2.mat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11.4 多 seed 训练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多 seed 训练入口为：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python src/ModernTCN/run_modern_tcn_theta10_v2_multiseed.py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 xml:space="preserve">具体参数以脚本中的 </w:t>
      </w:r>
      <w:r>
        <w:rPr>
          <w:rFonts w:ascii="Consolas" w:hAnsi="Consolas"/>
          <w:color w:val="800000"/>
          <w:sz w:val="18"/>
        </w:rPr>
        <w:t>argparse</w:t>
      </w:r>
      <w:r>
        <w:rPr>
          <w:rFonts w:ascii="宋体" w:hAnsi="宋体" w:eastAsia="宋体"/>
          <w:sz w:val="21"/>
        </w:rPr>
        <w:t xml:space="preserve"> 定义为准。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11.5 导出 ONNX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默认部署模型位于：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results/modern_tcn/modern_tcn_theta10_uniform_h0_v2_seed21/modern_tcn_seed21.onnx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可使用以下入口导出：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python src/ModernTCN/export_modern_tcn_onnx.py --checkpoint results/modern_tcn/modern_tcn_theta10_uniform_h0_v2_seed21/modern_tcn_seed21.pt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11.6 检查 ONNXRuntime 一致性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python src/ModernTCN/check_onnxruntime_consistency.py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11.7 检查 MATLAB 一致性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在 MATLAB 中运行：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ModernTCN_check_matlab_onnx();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11.8 加载 MATLAB predictor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cfg = ModernTCN_default_config(project_root());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[predictor, info] = ModernTCN_load_predictor(cfg);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11.9 运行 Simulink 闭环验证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init_project;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cfg = ModernTCN_default_config(project_root());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load_system('simulink/LPVMPC_AGV_simulink_Modern_TCN.slx');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sim('simulink/LPVMPC_AGV_simulink_Modern_TCN.slx');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11.10 查看结果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 xml:space="preserve">主要结果输出到 </w:t>
      </w:r>
      <w:r>
        <w:rPr>
          <w:rFonts w:ascii="Consolas" w:hAnsi="Consolas"/>
          <w:color w:val="800000"/>
          <w:sz w:val="18"/>
        </w:rPr>
        <w:t>results/</w:t>
      </w:r>
      <w:r>
        <w:rPr>
          <w:rFonts w:ascii="宋体" w:hAnsi="宋体" w:eastAsia="宋体"/>
          <w:sz w:val="21"/>
        </w:rPr>
        <w:t xml:space="preserve"> 目录。ModernTCN 训练结果位于 </w:t>
      </w:r>
      <w:r>
        <w:rPr>
          <w:rFonts w:ascii="Consolas" w:hAnsi="Consolas"/>
          <w:color w:val="800000"/>
          <w:sz w:val="18"/>
        </w:rPr>
        <w:t>results/modern_tcn/modern_tcn_theta10_uniform_h0_v2_seed21/</w:t>
      </w:r>
      <w:r>
        <w:rPr>
          <w:rFonts w:ascii="宋体" w:hAnsi="宋体" w:eastAsia="宋体"/>
          <w:sz w:val="21"/>
        </w:rPr>
        <w:t>。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第12章 技术特点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12.1 多任务时序工况感知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本软件使用单个 ModernTCN 模型同时完成主工况分类、转向方向分类和坡度回归三项任务，共享卷积骨干特征，减少重复计算。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12.2 大核时序卷积结构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ModernTCN 采用 kernel_size=31 的大核深度可分离卷积，配合残差连接和 layer_scale，在保持参数量可控的同时捕获长时间依赖。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12.3 统一数据契约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本软件使用统一数据契约定义输入窗口长度、特征维度、标签映射、划分策略和 scaler 策略，确保训练、测试和在线部署遵循相同的数据格式。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12.4 跨 Python/MATLAB 部署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本软件通过 ONNX 格式实现 PyTorch 模型到 MATLAB 的跨语言部署，提供 ONNXRuntime 和 MATLAB 两端的一致性验证，确保数值行为一致。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12.5 面向闭环调度的 theta 输出调理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本软件对 theta_hat 进行增益调整、绝对值限幅、变化率约束和死区处理，使感知输出适合 LPV-MPC 闭环控制使用。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12.6 可复现实验与验证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本软件提供多 seed 训练、ONNX 一致性检查、闭环验证和实时性测试，支持从离线训练到在线部署的全流程可复现验证。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第13章 数据安全、第三方依赖与权属边界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13.1 本地数据处理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本软件所有数据处理均在本地完成，不涉及网络传输或云端存储。训练数据、模型权重和仿真结果均保存在本地文件系统。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13.2 第三方依赖声明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以下第三方库作为运行环境或依赖工具，不作为本软件自有源代码：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PyTorch：深度学习框架；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ONNXRuntime：ONNX 推理引擎；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NumPy/SciPy：数值计算库；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MATLAB/Simulink：仿真平台；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onnx/onnxscript：ONNX 导出辅助。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13.3 模型权重与训练数据不作为源程序</w:t>
      </w:r>
    </w:p>
    <w:p>
      <w:pPr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Consolas" w:hAnsi="Consolas"/>
          <w:color w:val="800000"/>
          <w:sz w:val="18"/>
        </w:rPr>
        <w:t>.pt</w:t>
      </w:r>
      <w:r>
        <w:rPr>
          <w:rFonts w:ascii="宋体" w:hAnsi="宋体" w:eastAsia="宋体"/>
          <w:sz w:val="21"/>
        </w:rPr>
        <w:t>（PyTorch checkpoint）、</w:t>
      </w:r>
      <w:r>
        <w:rPr>
          <w:rFonts w:ascii="Consolas" w:hAnsi="Consolas"/>
          <w:color w:val="800000"/>
          <w:sz w:val="18"/>
        </w:rPr>
        <w:t>.onnx</w:t>
      </w:r>
      <w:r>
        <w:rPr>
          <w:rFonts w:ascii="宋体" w:hAnsi="宋体" w:eastAsia="宋体"/>
          <w:sz w:val="21"/>
        </w:rPr>
        <w:t>（ONNX 模型）、</w:t>
      </w:r>
      <w:r>
        <w:rPr>
          <w:rFonts w:ascii="Consolas" w:hAnsi="Consolas"/>
          <w:color w:val="800000"/>
          <w:sz w:val="18"/>
        </w:rPr>
        <w:t>.mat</w:t>
      </w:r>
      <w:r>
        <w:rPr>
          <w:rFonts w:ascii="宋体" w:hAnsi="宋体" w:eastAsia="宋体"/>
          <w:sz w:val="21"/>
        </w:rPr>
        <w:t>（数据和中间结果）文件属于模型权重、部署产物或数据文件，不作为源程序鉴别材料纳入。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13.4 自动生成代码处理</w:t>
      </w:r>
    </w:p>
    <w:p>
      <w:pPr>
        <w:spacing w:line="300" w:lineRule="auto"/>
      </w:pPr>
      <w:r>
        <w:rPr>
          <w:rFonts w:ascii="宋体" w:hAnsi="宋体" w:eastAsia="宋体"/>
          <w:sz w:val="21"/>
        </w:rPr>
      </w:r>
      <w:r>
        <w:rPr>
          <w:rFonts w:ascii="Consolas" w:hAnsi="Consolas"/>
          <w:color w:val="800000"/>
          <w:sz w:val="18"/>
        </w:rPr>
        <w:t>src/ModernTCN/generated_layers/</w:t>
      </w:r>
      <w:r>
        <w:rPr>
          <w:rFonts w:ascii="宋体" w:hAnsi="宋体" w:eastAsia="宋体"/>
          <w:sz w:val="21"/>
        </w:rPr>
        <w:t xml:space="preserve"> 为 MATLAB 导入 ONNX 后自动生成的兼容层代码，默认不纳入本次核心源程序鉴别材料。若申请人决定纳入，应单独标注为自动生成兼容层。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13.5 权属确认事项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申请人应最终确认以下事项：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是否存在职务开发、合作开发、委托开发或第三方开源代码；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GitHub 公开仓库若构成首次发表，首次发表日期需由申请人确认；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仓库中是否包含他人开源代码或单位职务成果。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第14章 版本说明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14.1 V1.0 功能范围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V1.0 版本包含以下功能：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ModernTCN-small 多任务时序感知模型定义；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统一数据集读取与窗口化；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多任务损失函数与训练指标；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单 seed 和多 seed 训练入口；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ONNX 模型导出；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ONNXRuntime 和 MATLAB 一致性验证；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MATLAB 在线窗口维护与预测；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状态分类器与 theta 输出调理；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Simulink 接口封装；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闭环验证接口与结果分析。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14.2 不包含的功能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V1.0 版本不包含以下功能：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嵌入式控制器固件；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实时操作系统部署；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完整的 AGV 车辆动力学仿真平台（作为验证环境引用）；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完整的 LPV-MPC 控制器平台（作为验证环境引用）；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GRU/TCN 对照算法的训练和推理（属于另一个申请包）；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在线学习或模型自适应更新。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14.3 后续扩展方向</w:t>
      </w:r>
    </w:p>
    <w:p>
      <w:pPr>
        <w:spacing w:line="300" w:lineRule="auto"/>
      </w:pPr>
      <w:r>
        <w:rPr>
          <w:rFonts w:ascii="宋体" w:hAnsi="宋体" w:eastAsia="宋体"/>
          <w:sz w:val="21"/>
        </w:rPr>
        <w:t>后续版本可能扩展以下方向：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causal padding 模式的正式部署支持；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多 AGV 场景的感知模型；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嵌入式平台的 ONNX Runtime 部署；</w:t>
      </w:r>
    </w:p>
    <w:p>
      <w:pPr>
        <w:pStyle w:val="ListNumber"/>
        <w:spacing w:line="300" w:lineRule="auto"/>
      </w:pPr>
      <w:r>
        <w:rPr>
          <w:rFonts w:ascii="宋体" w:hAnsi="宋体" w:eastAsia="宋体"/>
          <w:sz w:val="21"/>
        </w:rPr>
        <w:t>在线增量学习能力。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附录 A 主要源码文件清单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422"/>
            <w:shd w:val="clear" w:color="auto"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文件路径</w:t>
            </w:r>
          </w:p>
        </w:tc>
        <w:tc>
          <w:tcPr>
            <w:tcW w:type="dxa" w:w="2422"/>
            <w:shd w:val="clear" w:color="auto"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语言</w:t>
            </w:r>
          </w:p>
        </w:tc>
        <w:tc>
          <w:tcPr>
            <w:tcW w:type="dxa" w:w="2422"/>
            <w:shd w:val="clear" w:color="auto"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功能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init_project.m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MATLAB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项目初始化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project_root.m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MATLAB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根目录定位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results_dir.m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MATLAB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输出目录规范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src/ModernTCN/modern_tcn_model.py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Python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ModernTCN 模型定义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src/ModernTCN/modern_tcn_data.py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Python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数据加载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src/ModernTCN/modern_tcn_metrics.py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Python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损失函数与指标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src/ModernTCN/train_modern_tcn.py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Python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单 seed 训练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src/ModernTCN/run_modern_tcn_theta10_v2_multiseed.py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Python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多 seed 训练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src/ModernTCN/export_modern_tcn_onnx.py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Python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ONNX 导出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src/ModernTCN/check_onnxruntime_consistency.py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Python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ONNXRuntime 一致性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src/ModernTCN/ModernTCN_default_config.m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MATLAB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默认配置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src/ModernTCN/ModernTCN_load_predictor.m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MATLAB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predictor 加载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src/ModernTCN/ModernTCN_predict_window.m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MATLAB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单窗口预测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src/ModernTCN/ModernTCN_online_step.m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MATLAB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在线逐步推理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src/ModernTCN/ModernTCN_state_classifier.m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MATLAB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状态分类器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src/ModernTCN/ModernTCN_State_Classifier_sim.m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MATLAB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Simulink 包装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17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src/ModernTCN/ModernTCN_check_matlab_onnx.m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MATLAB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MATLAB ONNX 一致性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18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src/core/preloadfcn_modern_tcn.m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MATLAB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闭环预加载入口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19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src/ModernTCN/ModernTCN_analyze_closed_loop_out.m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MATLAB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闭环输出分析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20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src/ModernTCN/ModernTCN_replay_closed_loop_yraw.m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MATLAB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yraw 回放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21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src/Compare/benchmark_modern_tcn_onnx_runtime.py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Python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实时性测试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22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src/Compare/run_realtime_benchmark.m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MATLAB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实时性汇总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  <w:sz w:val="28"/>
        </w:rPr>
        <w:t>附录 B 输入输出文件清单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230"/>
            <w:shd w:val="clear" w:color="auto"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文件</w:t>
            </w:r>
          </w:p>
        </w:tc>
        <w:tc>
          <w:tcPr>
            <w:tcW w:type="dxa" w:w="3230"/>
            <w:shd w:val="clear" w:color="auto"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输入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data/tcn/ModernTCN_dataset_*.mat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统一数据集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输入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data/tcn/ModernTCN_dataset_*_contract.json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数据契约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输入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results/modern_tcn/*/modern_tcn_seed21.onnx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ONNX 模型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输入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results/modern_tcn/*/*_pytorch_reference.mat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PyTorch 参考输出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输出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results/modern_tcn/*/modern_tcn_seed21.pt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checkpoint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输出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results/modern_tcn/*/*.csv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训练指标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输出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results/modern_tcn/*/summary*.txt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训练报告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  <w:sz w:val="28"/>
        </w:rPr>
        <w:t>附录 C 默认配置表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3230"/>
            <w:shd w:val="clear" w:color="auto"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值</w:t>
            </w:r>
          </w:p>
        </w:tc>
        <w:tc>
          <w:tcPr>
            <w:tcW w:type="dxa" w:w="3230"/>
            <w:shd w:val="clear" w:color="auto"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seed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21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默认随机种子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seq_len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128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输入窗口长度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input_dim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19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输入特征维度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channels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64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卷积通道数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blocks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残差块数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kernel_size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31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卷积核大小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temporal_padding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same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时序填充模式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dropout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0.15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Dropout 比率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expansion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逐点卷积扩展比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theta_output_gain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1.0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theta 增益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theta_abs_limit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deg2rad(12)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theta 绝对值限幅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theta_rate_limit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deg2rad(5)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theta 变化率约束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theta_mpc_deadzone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deg2rad(2)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theta MPC 死区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  <w:sz w:val="28"/>
        </w:rPr>
        <w:t>附录 D 运行命令示例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# 单 seed 训练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python src/ModernTCN/train_modern_tcn.py --dataset-file data/tcn/ModernTCN_dataset_agv_dualsteer_theta10_uniform_conf_h0_v2.mat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 xml:space="preserve"> 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# 多 seed 训练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python src/ModernTCN/run_modern_tcn_theta10_v2_multiseed.py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 xml:space="preserve"> 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# ONNX 导出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python src/ModernTCN/export_modern_tcn_onnx.py --checkpoint results/modern_tcn/modern_tcn_theta10_uniform_h0_v2_seed21/modern_tcn_seed21.pt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 xml:space="preserve"> 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# ONNXRuntime 一致性检查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python src/ModernTCN/check_onnxruntime_consistency.py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% MATLAB 初始化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init_project;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cfg = ModernTCN_default_config(project_root());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 xml:space="preserve"> 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% MATLAB ONNX 一致性检查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ModernTCN_check_matlab_onnx();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 xml:space="preserve"> 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% 加载 predictor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[predictor, info] = ModernTCN_load_predictor(cfg);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 xml:space="preserve"> 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% Simulink 闭环验证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load_system('simulink/LPVMPC_AGV_simulink_Modern_TCN.slx');</w:t>
      </w:r>
    </w:p>
    <w:p>
      <w:pPr>
        <w:spacing w:line="220" w:lineRule="exact" w:before="0" w:after="0"/>
        <w:shd w:val="clear" w:color="auto" w:fill="F0F0F0"/>
      </w:pPr>
      <w:r>
        <w:rPr>
          <w:rFonts w:ascii="Consolas" w:hAnsi="Consolas"/>
          <w:sz w:val="18"/>
        </w:rPr>
        <w:t>sim('simulink/LPVMPC_AGV_simulink_Modern_TCN.slx');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附录 E 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术语</w:t>
            </w:r>
          </w:p>
        </w:tc>
        <w:tc>
          <w:tcPr>
            <w:tcW w:type="dxa" w:w="4844"/>
            <w:shd w:val="clear" w:color="auto"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AGV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自动导引车（Automated Guided Vehicle）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ModernTCN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现代时序卷积网络（Modern Temporal Convolutional Network）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ONNX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开放神经网络交换格式（Open Neural Network Exchange）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ONNXRuntime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ONNX 模型推理引擎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LPV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线性参数变化（Linear Parameter-Varying）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MPC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模型预测控制（Model Predictive Control）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logits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模型输出的未归一化分类分数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theta_hat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坡度/调度量回归输出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scaler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数据归一化参数（均值和标准差）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checkpoint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训练过程保存的模型快照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depthwise convolution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深度可分离卷积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layer_scale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层缩放因子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run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一次独立仿真实验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seq_len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输入序列长度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input_dim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rFonts w:ascii="宋体" w:hAnsi="宋体" w:eastAsia="宋体"/>
                <w:sz w:val="18"/>
              </w:rPr>
              <w:t>输入特征维度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before="0" w:after="0"/>
      <w:pBdr>
        <w:top w:val="single" w:sz="6" w:space="1" w:color="000000"/>
      </w:pBdr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4677"/>
      <w:gridCol w:w="4677"/>
    </w:tblGrid>
    <w:tr>
      <w:tc>
        <w:tcPr>
          <w:tcW w:type="dxa" w:w="4677"/>
        </w:tcPr>
        <w:p>
          <w:pPr>
            <w:jc w:val="left"/>
          </w:pPr>
          <w:r/>
          <w:r>
            <w:rPr>
              <w:rFonts w:ascii="宋体" w:hAnsi="宋体" w:eastAsia="宋体"/>
              <w:sz w:val="16"/>
            </w:rPr>
            <w:t>基于 ModernTCN 的 AGV 工况感知与坡度调度软件 V1.0</w:t>
          </w:r>
        </w:p>
      </w:tc>
      <w:tc>
        <w:tcPr>
          <w:tcW w:type="dxa" w:w="4677"/>
        </w:tcPr>
        <w:p>
          <w:pPr>
            <w:jc w:val="right"/>
          </w:pPr>
          <w:r/>
          <w:r>
            <w:rPr>
              <w:rFonts w:ascii="宋体" w:hAnsi="宋体"/>
              <w:sz w:val="16"/>
            </w:rPr>
            <w:t xml:space="preserve">第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/>
              <w:sz w:val="16"/>
            </w:rPr>
            <w:t xml:space="preserve"> 页 共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/>
              <w:sz w:val="16"/>
            </w:rPr>
            <w:t xml:space="preserve"> 页</w:t>
          </w:r>
        </w:p>
      </w:tc>
    </w:tr>
  </w:tbl>
  <w:p>
    <w:pPr>
      <w:spacing w:before="0" w:after="0"/>
      <w:pBdr>
        <w:bottom w:val="single" w:sz="6" w:space="1" w:color="00000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