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2"/>
        </w:rPr>
        <w:t>面向对角式双舵轮 AGV 的 GRU 与 ModernTCN</w:t>
        <w:br/>
        <w:t>训练数据集技术要求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2"/>
        </w:rPr>
        <w:t>适用约束：输入信号保持当前算法不变；仿真步长 Ts = 0.01 s 不变；保留置信度输出</w:t>
      </w:r>
    </w:p>
    <w:p>
      <w:r>
        <w:t>版本：v1.0    用途：交付 Codex 进行数据集生成与代码改造    日期：2026-05-09</w:t>
      </w:r>
    </w:p>
    <w:p>
      <w:pPr>
        <w:pStyle w:val="Heading1"/>
      </w:pPr>
      <w:r>
        <w:t>0. 本版相对于上一版的明确修改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车辆对象固定为对角式双舵轮 AGV：只有左前轮 LF 与右后轮 RR 是动力轮，同时也是舵轮；右前轮 RF 与左后轮 LR 为从动轮。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保持当前算法输入信号不变：不新增四轮电流、四轮轮速、控制指令、路径误差、pitch/roll/yaw 等输入；Codex 不应修改模型 input_dim、feature_names 或已有输入接口。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保持当前仿真步长 Ts = 0.01 s 不变：不要求把仿真步长改为 0.005 s、0.002 s 或 0.001 s；所有窗口长度、预测 horizon 与时间对齐均基于 10 ms 采样。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保留置信度输出：不取消分类置信度；至少应从 softmax 概率中导出 main_confidence 与 turn_confidence，并在评估和闭环使用中保留。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训练数据集方向仍然由“短路径为主体”改为“长段连续路径为主体 + 短段边界工况补充”，并采用 run-level 划分。</w:t>
      </w:r>
    </w:p>
    <w:p>
      <w:pPr>
        <w:pStyle w:val="Heading1"/>
      </w:pPr>
      <w:r>
        <w:t>1. 文档目的与适用范围</w:t>
      </w:r>
    </w:p>
    <w:p>
      <w:r>
        <w:t>本文档用于指导 Codex 对当前仓库中的 GRU 与 ModernTCN 数据生成、数据集组织、训练/验证/测试划分、标签输出和评估脚本进行代码生成或改造。文档重点不是重新设计车辆模型，也不是修改算法输入信号，而是在保持当前输入接口和 0.01 s 仿真步长的前提下，重新构建更适合长时间复杂路径跟踪任务的数据集。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适用算法：GRU 与 ModernTCN，并要求二者使用同一套数据划分、同一输入信号、同一窗口长度与同一评价指标。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适用车辆：对角式双舵轮 AGV，LF/RR 为动力舵轮，RF/LR 为从动轮。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适用任务：行驶状态识别、转弯识别、坡度角回归、短时状态预判，以及最终服务于路径跟踪控制。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不适用内容：不在本文档中要求新增传感器通道，不要求修改仿真积分步长，不要求改成四轮独立驱动/四轮独立转向模型。</w:t>
      </w:r>
    </w:p>
    <w:p>
      <w:pPr>
        <w:pStyle w:val="Heading1"/>
      </w:pPr>
      <w:r>
        <w:t>2. 车辆模型约束：对角式双舵轮 AGV</w:t>
      </w:r>
    </w:p>
    <w:p>
      <w:r>
        <w:t>当前模型不是四轮独立驱动/四轮独立转向 AGV，而是对角式双舵轮结构。数据集生成和特征解释必须严格服从该结构。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361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轮位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角色</w:t>
            </w:r>
          </w:p>
        </w:tc>
        <w:tc>
          <w:tcPr>
            <w:tcW w:type="dxa" w:w="1247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是否动力轮</w:t>
            </w:r>
          </w:p>
        </w:tc>
        <w:tc>
          <w:tcPr>
            <w:tcW w:type="dxa" w:w="1247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是否舵轮</w:t>
            </w:r>
          </w:p>
        </w:tc>
        <w:tc>
          <w:tcPr>
            <w:tcW w:type="dxa" w:w="3969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数据集处理要求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LF 左前轮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主动动力舵轮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保留当前电流、轮速、转角相关信号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RR 右后轮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主动动力舵轮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保留当前电流、轮速、转角相关信号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RF 右前轮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从动轮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不新增驱动电流或舵角输入；如仿真内部有从动轮状态，可用于动力学计算，但不作为当前算法新增输入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LR 左后轮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从动轮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不新增驱动电流或舵角输入；如仿真内部有从动轮状态，可用于动力学计算，但不作为当前算法新增输入</w:t>
            </w:r>
          </w:p>
        </w:tc>
      </w:tr>
    </w:tbl>
    <w:p>
      <w:r>
        <w:t>原因：如果按四轮独立驱动或四轮独立转向去设计数据特征，Codex 可能会错误加入 RF/LR 的驱动电流、驱动轮速差或舵角，导致数据集与真实模型不一致，进而引发模型接口维度改变、训练脚本失配和物理含义错误。</w:t>
      </w:r>
    </w:p>
    <w:p>
      <w:pPr>
        <w:pStyle w:val="Heading1"/>
      </w:pPr>
      <w:r>
        <w:t>3. 总体数据集设计原则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7"/>
        </w:rPr>
        <w:t>长段连续路径为主体 + 短段边界工况为补充 + 固定历史窗口训练 + 独立长路径测试 + 保留置信度输出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原则</w:t>
            </w:r>
          </w:p>
        </w:tc>
        <w:tc>
          <w:tcPr>
            <w:tcW w:type="dxa" w:w="3685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技术要求</w:t>
            </w:r>
          </w:p>
        </w:tc>
        <w:tc>
          <w:tcPr>
            <w:tcW w:type="dxa" w:w="425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原因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长段连续路径为主体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训练数据主要由多分钟级连续 run 生成，而不是只使用短路径片段。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最终任务是长时间复杂路径跟踪，短路径无法覆盖状态衔接、误差积累和复合工况。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短段工况为补充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保留部分短段单工况和边界工况，例如纯坡道、纯转弯、坡顶/坡底、低速爬坡。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短段数据有助于强化少数关键状态，但不能替代长段连续数据。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固定历史窗口训练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从长 run 中切出固定长度窗口训练 GRU/ModernTCN。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模型无需直接输入整条长路径，固定窗口便于与当前代码结构兼容。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run-level 划分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训练、验证、测试按完整 run 划分，禁止随机窗口划分。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避免相邻窗口高度重叠造成测试指标虚高。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输入不变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不新增输入通道，不修改 feature_names、input_dim 或模型输入层。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保持与当前仓库已有 GRU/ModernTCN 训练和 ONNX/MATLAB 推理流程兼容。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置信度保留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保留分类置信度字段，并在评估和闭环逻辑中输出。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便于不确定状态降级、阈值判断、可视化调试和模型可靠性评估。</w:t>
            </w:r>
          </w:p>
        </w:tc>
      </w:tr>
    </w:tbl>
    <w:p>
      <w:pPr>
        <w:pStyle w:val="Heading1"/>
      </w:pPr>
      <w:r>
        <w:t>4. 仿真步长与时间基准要求</w:t>
      </w:r>
    </w:p>
    <w:p>
      <w:r>
        <w:t>本版明确保持当前仿真步长 Ts = 0.01 s 不变。Codex 不应修改 parameters.m、仿真模型、数据生成脚本中的全局采样周期或算法配置中的时间步长。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固定要求</w:t>
            </w:r>
          </w:p>
        </w:tc>
        <w:tc>
          <w:tcPr>
            <w:tcW w:type="dxa" w:w="3969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换算关系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仿真步长 Ts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0.01 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每个仿真步为 10 ms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数据记录周期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0.01 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与仿真步长一致，不新增降采样/重采样流程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模型输入采样周期 dt_model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0.01 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GRU 与 ModernTCN 使用同一时间基准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seq_len = 100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历史 1.00 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可作为轻量对照版本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seq_len = 128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历史 1.28 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推荐优先保持当前 ModernTCN 兼容设置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horizon = 10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未来 0.10 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短时预判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horizon = 20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未来 0.20 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推荐主预测 horizon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horizon = 30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未来 0.30 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较长预判对照</w:t>
            </w:r>
          </w:p>
        </w:tc>
      </w:tr>
    </w:tbl>
    <w:p>
      <w:r>
        <w:t>原因：用户希望保持当前 0.01 s 仿真步长不变，因此本文档不再要求更小仿真步长。这样做可以最大限度降低对现有 Simulink/MATLAB 仿真模型、MPC 采样周期、GRU 数据脚本和 ModernTCN 数据契约的改动风险。</w:t>
      </w:r>
    </w:p>
    <w:p>
      <w:pPr>
        <w:pStyle w:val="Heading1"/>
      </w:pPr>
      <w:r>
        <w:t>5. 输入信号要求：保持当前算法输入不变</w:t>
      </w:r>
    </w:p>
    <w:p>
      <w:r>
        <w:t>本部分是给 Codex 的硬约束：不得按上一版建议新增输入信号。当前算法用到哪些输入信号，就继续使用哪些输入信号；若当前仓库中已有 feature_names 或 input_dim 配置，应以现有配置为准，不在本次任务中改动。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不得新增 RF/LR 从动轮的驱动电流或舵角。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不得新增四轮独立驱动/四轮独立转向相关特征。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不得新增控制指令、路径误差、参考曲率、pitch/roll/yaw 等输入通道，除非这些已经是当前算法输入的一部分。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不得修改 GRU 与 ModernTCN 的输入维度、输入层形状、ONNX 导出输入接口和 MATLAB 在线推理输入格式。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允许修改的是数据来源路径、长段 run 生成逻辑、窗口切片方式、标签生成、数据划分和评估统计。</w:t>
      </w:r>
    </w:p>
    <w:p>
      <w:r>
        <w:t>若以用户已确认的信号清单为准，当前输入至少包括以下类别。若仓库中的实际 feature_names 比下表更多或更少，Codex 应优先读取并保持仓库当前 feature_names，不应为了匹配本文档而硬改模型输入。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类别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当前信号示例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处理要求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原因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IMU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accel_x, gyro_y, gyro_z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保留；不新增 pitch/roll/yaw 输入。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保持现有输入接口不变；让数据集改进集中在路径和标签分布。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动力舵轮电流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I_lf, I_rr 或对应 meas 字段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保留 LF/RR；不新增 RF/LR 电流。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RF/LR 是从动轮，不应作为动力轮电流输入。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动力舵轮轮速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omega_wheel_lf, omega_wheel_rr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保留 LF/RR；不强制新增从动轮轮速。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与当前算法输入保持一致，避免 input_dim 改动。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动力舵轮转角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delta_lf, delta_rr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保留 LF/RR 实际转向角。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LF/RR 是舵轮，转角对转弯识别和路径跟踪状态判断关键。</w:t>
            </w:r>
          </w:p>
        </w:tc>
      </w:tr>
    </w:tbl>
    <w:p>
      <w:pPr>
        <w:pStyle w:val="CodeBlock"/>
      </w:pPr>
      <w:r>
        <w:rPr>
          <w:rFonts w:ascii="Noto Sans Mono CJK SC" w:hAnsi="Noto Sans Mono CJK SC" w:eastAsia="Noto Sans Mono CJK SC"/>
          <w:sz w:val="17"/>
        </w:rPr>
        <w:t>Codex 实施要求：</w:t>
        <w:br/>
        <w:t>1. 保留现有 feature_names / input_dim / 模型输入层。</w:t>
        <w:br/>
        <w:t>2. 数据生成脚本只改变 run 设计、切片、标签、split、metadata，不改变输入特征集合。</w:t>
        <w:br/>
        <w:t>3. 若发现脚本中有硬编码 input_dim，应与当前模型配置保持一致，不新增特征导致维度变化。</w:t>
      </w:r>
    </w:p>
    <w:p>
      <w:pPr>
        <w:pStyle w:val="Heading1"/>
      </w:pPr>
      <w:r>
        <w:t>6. 输出标签与置信度要求</w:t>
      </w:r>
    </w:p>
    <w:p>
      <w:r>
        <w:t>本版要求保留置信度输出。若上一版文档中取消或未提及置信度，本版予以修正。置信度不一定需要作为一个额外监督学习标签训练；对于分类任务，最稳妥的实现是从 softmax 概率中派生。</w:t>
      </w:r>
    </w:p>
    <w:p>
      <w:pPr>
        <w:pStyle w:val="Heading2"/>
      </w:pPr>
      <w:r>
        <w:t>6.1 推荐输出结构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输出项</w:t>
            </w:r>
          </w:p>
        </w:tc>
        <w:tc>
          <w:tcPr>
            <w:tcW w:type="dxa" w:w="1587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1361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是否必须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建议生成方式</w:t>
            </w:r>
          </w:p>
        </w:tc>
        <w:tc>
          <w:tcPr>
            <w:tcW w:type="dxa" w:w="2608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logits_main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分类 logits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模型直接输出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主行驶状态分类，例如 flat/uphill/downhill 或其他当前仓库定义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main_confidence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分类置信度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max(softmax(logits_main))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判断主状态分类是否可靠，用于阈值、告警、降级和可视化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logits_turn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分类 logits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若当前算法已有则必须保留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模型直接输出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转弯状态分类，例如 straight/left/right 或当前仓库定义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turn_confidence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分类置信度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若有 logits_turn 则必须保留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max(softmax(logits_turn))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判断转弯分类是否可靠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theta_hat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连续回归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必须或按当前任务保留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模型直接输出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坡度角估计或预测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theta_confidence / theta_quality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回归可靠性指标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可选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可由主状态置信度、局部误差统计或验证集校准得到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回归不确定性提示；若当前代码没有该字段，可先不强制新增监督头</w:t>
            </w:r>
          </w:p>
        </w:tc>
      </w:tr>
    </w:tbl>
    <w:p>
      <w:pPr>
        <w:pStyle w:val="Heading2"/>
      </w:pPr>
      <w:r>
        <w:t>6.2 如果取消置信度，会带来什么结果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影响维度</w:t>
            </w:r>
          </w:p>
        </w:tc>
        <w:tc>
          <w:tcPr>
            <w:tcW w:type="dxa" w:w="3628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取消置信度后的结果</w:t>
            </w:r>
          </w:p>
        </w:tc>
        <w:tc>
          <w:tcPr>
            <w:tcW w:type="dxa" w:w="4195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对 AGV 路径跟踪的风险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在线安全性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系统只能得到类别或回归值，无法知道模型是否“不确定”。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在坡道转弯、坡顶/坡底、传感器噪声较大等场景中，控制器可能直接相信错误识别结果。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闭环控制策略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难以做低置信度降级、保持上一状态、切回传统控制器或降低补偿增益。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错误坡度补偿或错误转弯状态可能引起路径误差增大或控制振荡。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调试与验收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只能看 accuracy/MAE，不能分析“错得是否有预警”。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无法区分模型是自信地错，还是低置信度地错；不利于定位数据覆盖不足。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阈值工程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无法基于 confidence 设置门限，例如 confidence &lt; 0.6 时不启用学习补偿。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学习算法与 MPC/路径跟踪控制器之间缺少可靠的接口保护。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模型比较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GRU 与 ModernTCN 只能比较预测值，不能比较可靠性校准。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可能选择了离线 MAE 略低但在线不确定性更差的模型。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数据集迭代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无法统计低置信度窗口集中在哪些工况。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难以发现需要补充的坡度区间、过渡段或复合工况。</w:t>
            </w:r>
          </w:p>
        </w:tc>
      </w:tr>
    </w:tbl>
    <w:p>
      <w:r>
        <w:t>取消置信度的唯一好处是接口更简单、输出字段更少。但对于将模型接入路径跟踪控制的 AGV 项目，这种简化不值得。建议至少保留从分类 logits 派生的置信度，因为它不改变训练标签，也不要求新增模型输入，只是在推理和评估阶段多输出一个字段。</w:t>
      </w:r>
    </w:p>
    <w:p>
      <w:pPr>
        <w:pStyle w:val="Heading2"/>
      </w:pPr>
      <w:r>
        <w:t>6.3 Codex 对置信度的实现要求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7"/>
        </w:rPr>
        <w:t># 分类置信度建议实现逻辑</w:t>
        <w:br/>
        <w:t>prob_main = softmax(logits_main, dim=-1)</w:t>
        <w:br/>
        <w:t>main_pred = argmax(prob_main, dim=-1)</w:t>
        <w:br/>
        <w:t>main_confidence = max(prob_main, dim=-1)</w:t>
        <w:br/>
        <w:br/>
        <w:t>prob_turn = softmax(logits_turn, dim=-1)</w:t>
        <w:br/>
        <w:t>turn_pred = argmax(prob_turn, dim=-1)</w:t>
        <w:br/>
        <w:t>turn_confidence = max(prob_turn, dim=-1)</w:t>
        <w:br/>
        <w:br/>
        <w:t># 导出与评估文件中必须保留：</w:t>
        <w:br/>
        <w:t># y_main_true, y_main_pred, main_confidence</w:t>
        <w:br/>
        <w:t># y_turn_true, y_turn_pred, turn_confidence</w:t>
        <w:br/>
        <w:t># theta_true, theta_hat</w:t>
        <w:br/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训练阶段：不必新增 confidence label；置信度可由 softmax 概率派生。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评估阶段：必须保存每个窗口的预测类别、真实类别和置信度，便于按置信度分桶统计错误率。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在线阶段：推理接口应返回类别、回归值和置信度；控制器可根据置信度决定是否启用学习补偿。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可选校准：后续可在验证集上做 temperature scaling 或可靠性曲线分析，但不是第一版强制项。</w:t>
      </w:r>
    </w:p>
    <w:p>
      <w:pPr>
        <w:pStyle w:val="Heading1"/>
      </w:pPr>
      <w:r>
        <w:t>7. 长段数据集构成要求</w:t>
      </w:r>
    </w:p>
    <w:p>
      <w:r>
        <w:t>新版数据集的核心目标是替代当前“短路径为主体”的训练数据，建立长时间连续路径数据集。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数据类型</w:t>
            </w:r>
          </w:p>
        </w:tc>
        <w:tc>
          <w:tcPr>
            <w:tcW w:type="dxa" w:w="147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建议占比</w:t>
            </w:r>
          </w:p>
        </w:tc>
        <w:tc>
          <w:tcPr>
            <w:tcW w:type="dxa" w:w="3685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内容要求</w:t>
            </w:r>
          </w:p>
        </w:tc>
        <w:tc>
          <w:tcPr>
            <w:tcW w:type="dxa" w:w="3515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原因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基础单工况短段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20%~30%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平地直行、左转、右转、上坡、下坡、坡顶、坡底、加速、减速。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提供干净基本样本，便于模型学习基础动力学模式。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复合工况中长段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30%~40%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上坡转弯、下坡转弯、坡顶转弯、下坡制动、S 弯、入弯后上坡。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覆盖真实路径中最容易导致误判和跟踪误差的耦合工况。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完整长路径 run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30%~50%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3~10 分钟连续路径，多工况切换，多次坡度和转弯事件。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模拟最终展示和部署中的长时间连续跟踪任务。</w:t>
            </w:r>
          </w:p>
        </w:tc>
      </w:tr>
    </w:tbl>
    <w:p>
      <w:pPr>
        <w:pStyle w:val="Heading2"/>
      </w:pPr>
      <w:r>
        <w:t>7.1 长路径与最终测试路径的关系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应相同或相近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速度范围、坡度范围、转弯半径范围、载重范围、车辆参数、控制器设置、传感器噪声、采样周期。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应不同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具体路径形状、坡度出现位置、工况组合顺序、初始偏差、局部路径细节。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不建议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训练路径与最终展示路径完全一致。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最终展示路径未参与训练，但其工况范围被训练集充分覆盖。</w:t>
            </w:r>
          </w:p>
        </w:tc>
      </w:tr>
    </w:tbl>
    <w:p>
      <w:pPr>
        <w:pStyle w:val="Heading1"/>
      </w:pPr>
      <w:r>
        <w:t>8. 坡度样本设计要求</w:t>
      </w:r>
    </w:p>
    <w:p>
      <w:r>
        <w:t>坡度识别是项目重点，因此数据集中必须主动设计坡度事件，而不能依赖短路径中偶然出现的坡度。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坡度事件应出现在长路径的前段、中段和后段，不能只放在固定时间位置。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每条长路径建议包含 1~3 个坡度事件；不同 run 中坡度出现位置和组合方式不同。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坡度应覆盖进入坡道、稳定坡道、坡顶、下坡、坡底和恢复平地等阶段。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坡度应与转弯、加速、减速、制动等工况组合出现。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若坡度角是连续回归目标，应避免只使用少数离散坡度档位；应增加连续变化或更多坡度级别，降低回归输出团簇化。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948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坡度场景</w:t>
            </w:r>
          </w:p>
        </w:tc>
        <w:tc>
          <w:tcPr>
            <w:tcW w:type="dxa" w:w="147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是否必须</w:t>
            </w:r>
          </w:p>
        </w:tc>
        <w:tc>
          <w:tcPr>
            <w:tcW w:type="dxa" w:w="5216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原因</w:t>
            </w:r>
          </w:p>
        </w:tc>
      </w:tr>
      <w:tr>
        <w:tc>
          <w:tcPr>
            <w:tcW w:type="dxa" w:w="29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平地 -&gt; 上坡 -&gt; 平地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  <w:tc>
          <w:tcPr>
            <w:tcW w:type="dxa" w:w="52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基础上坡识别。</w:t>
            </w:r>
          </w:p>
        </w:tc>
      </w:tr>
      <w:tr>
        <w:tc>
          <w:tcPr>
            <w:tcW w:type="dxa" w:w="29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平地 -&gt; 下坡 -&gt; 平地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  <w:tc>
          <w:tcPr>
            <w:tcW w:type="dxa" w:w="52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基础下坡识别。</w:t>
            </w:r>
          </w:p>
        </w:tc>
      </w:tr>
      <w:tr>
        <w:tc>
          <w:tcPr>
            <w:tcW w:type="dxa" w:w="29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上坡 -&gt; 坡顶 -&gt; 下坡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  <w:tc>
          <w:tcPr>
            <w:tcW w:type="dxa" w:w="52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覆盖坡顶过渡瞬态。</w:t>
            </w:r>
          </w:p>
        </w:tc>
      </w:tr>
      <w:tr>
        <w:tc>
          <w:tcPr>
            <w:tcW w:type="dxa" w:w="29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下坡 -&gt; 坡底 -&gt; 上坡或平地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  <w:tc>
          <w:tcPr>
            <w:tcW w:type="dxa" w:w="52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覆盖坡底冲击和 IMU 变化。</w:t>
            </w:r>
          </w:p>
        </w:tc>
      </w:tr>
      <w:tr>
        <w:tc>
          <w:tcPr>
            <w:tcW w:type="dxa" w:w="29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上坡左转/右转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  <w:tc>
          <w:tcPr>
            <w:tcW w:type="dxa" w:w="52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验证坡度与转弯耦合。</w:t>
            </w:r>
          </w:p>
        </w:tc>
      </w:tr>
      <w:tr>
        <w:tc>
          <w:tcPr>
            <w:tcW w:type="dxa" w:w="29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下坡制动/下坡转弯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建议必须</w:t>
            </w:r>
          </w:p>
        </w:tc>
        <w:tc>
          <w:tcPr>
            <w:tcW w:type="dxa" w:w="52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验证较危险闭环工况。</w:t>
            </w:r>
          </w:p>
        </w:tc>
      </w:tr>
      <w:tr>
        <w:tc>
          <w:tcPr>
            <w:tcW w:type="dxa" w:w="29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不同速度过同一坡度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建议必须</w:t>
            </w:r>
          </w:p>
        </w:tc>
        <w:tc>
          <w:tcPr>
            <w:tcW w:type="dxa" w:w="52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避免模型把速度变化误学为坡度。</w:t>
            </w:r>
          </w:p>
        </w:tc>
      </w:tr>
    </w:tbl>
    <w:p>
      <w:r>
        <w:t>建议训练窗口中坡度相关窗口占 20%~30%。如果真实运行中坡度占比更低，可保持原始数据比例，但在训练 batch 中对坡度窗口进行过采样，验证和测试仍保持真实分布。</w:t>
      </w:r>
    </w:p>
    <w:p>
      <w:pPr>
        <w:pStyle w:val="Heading1"/>
      </w:pPr>
      <w:r>
        <w:t>9. 窗口切片与标签对齐要求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配置项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推荐值</w:t>
            </w:r>
          </w:p>
        </w:tc>
        <w:tc>
          <w:tcPr>
            <w:tcW w:type="dxa" w:w="510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Ts / dt_model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0.01 s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固定不变。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seq_len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128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推荐与当前 ModernTCN 兼容；对应 1.28 s 历史窗口。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备选 seq_len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轻量对照；对应 1.00 s 历史窗口。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horizon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推荐主预测 horizon；对应未来 0.20 s。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备选 horizon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 / 10 / 30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分别对应当前估计、100 ms、300 ms 预测。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stride_train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 或 10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 50 ms 或 100 ms 取一个训练窗口，减少高度重复。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stride_val/test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 或连续推理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尽量接近在线部署评估。</w:t>
            </w:r>
          </w:p>
        </w:tc>
      </w:tr>
    </w:tbl>
    <w:p>
      <w:pPr>
        <w:pStyle w:val="CodeBlock"/>
      </w:pPr>
      <w:r>
        <w:rPr>
          <w:rFonts w:ascii="Noto Sans Mono CJK SC" w:hAnsi="Noto Sans Mono CJK SC" w:eastAsia="Noto Sans Mono CJK SC"/>
          <w:sz w:val="17"/>
        </w:rPr>
        <w:t># 样本构造约定，Ts = 0.01 s</w:t>
        <w:br/>
        <w:t>X_i = sensor[i : i + seq_len]</w:t>
        <w:br/>
        <w:t>t_now = i + seq_len - 1</w:t>
        <w:br/>
        <w:br/>
        <w:t># 当前状态估计</w:t>
        <w:br/>
        <w:t>label_i = target[t_now]</w:t>
        <w:br/>
        <w:br/>
        <w:t># 未来 h 步预测，例如 h = 20 表示未来 0.20 s</w:t>
        <w:br/>
        <w:t>label_i = target[t_now + horizon]</w:t>
        <w:br/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输入窗口只能包含过去和当前，不能包含 t_now 之后的传感器数据。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标签可以是未来值，但未来传感器不能进入输入窗口。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坡度标签、转弯标签、主状态标签必须明确是当前状态还是未来状态。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过渡段标签要保留，不建议全部剔除；但可在评估中单独统计过渡段表现。</w:t>
      </w:r>
    </w:p>
    <w:p>
      <w:pPr>
        <w:pStyle w:val="Heading1"/>
      </w:pPr>
      <w:r>
        <w:t>10. 数据集划分与预处理要求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要求</w:t>
            </w:r>
          </w:p>
        </w:tc>
        <w:tc>
          <w:tcPr>
            <w:tcW w:type="dxa" w:w="3969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具体说明</w:t>
            </w:r>
          </w:p>
        </w:tc>
        <w:tc>
          <w:tcPr>
            <w:tcW w:type="dxa" w:w="3685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原因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run-level split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按完整长路径 run 划分训练/验证/测试。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避免相邻窗口泄漏。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禁止随机窗口划分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不得把同一 run 的相邻窗口随机分到 train 和 test。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相邻窗口高度重叠，会导致测试指标虚高。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归一化只用训练集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mean/std 只能从训练集计算，val/test/online 使用训练集参数。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避免测试集统计泄漏。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滤波在线可实现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若已有滤波流程，必须使用因果滤波或与部署一致的滤波。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避免中心平滑或双向滤波使用未来信息。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保留 metadata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保存 run_id、scenario_id、slope_event_id、is_transition、is_slope、is_turn 等字段。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便于分工况评估和定位低置信度样本。</w:t>
            </w:r>
          </w:p>
        </w:tc>
      </w:tr>
    </w:tbl>
    <w:p>
      <w:pPr>
        <w:pStyle w:val="Heading1"/>
      </w:pPr>
      <w:r>
        <w:t>11. Codex 代码生成任务清单</w:t>
      </w:r>
    </w:p>
    <w:p>
      <w:r>
        <w:t>Codex 应围绕数据集生成和评估流程改造，而不是修改输入信号和仿真步长。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新增或改造长段 run 生成脚本，生成多分钟连续路径，而不是只生成短路径片段。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保持 Ts = 0.01 s，不修改 parameters.m 中的采样时间和模型训练配置中的 dt。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保持当前 feature_names、input_dim 和模型输入层不变。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根据对角式双舵轮结构，只使用 LF/RR 动力舵轮信号，不新增 RF/LR 动力轮输入。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构建 run-level train/val/test split，禁止随机窗口划分。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输出 dataset_contract.json 或等效 MAT metadata，记录 Ts、seq_len、horizon、feature_names、label_names、split_policy 和 confidence_policy。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训练和评估脚本保留 logits_main、logits_turn、theta_hat，并导出 main_confidence、turn_confidence。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新增按坡度区间、过渡段、坡道转弯段、低置信度窗口的分组评估。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保留 GRU 与 ModernTCN 公平对比：同一数据集、同一 split、同一输入、同一 horizon、同一指标。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7"/>
        </w:rPr>
        <w:t># dataset_contract.json 建议字段</w:t>
        <w:br/>
        <w:t>{</w:t>
        <w:br/>
        <w:t xml:space="preserve">  "dataset_version": "v6_longrun_diag2steer_Ts0p01_confidence",</w:t>
        <w:br/>
        <w:t xml:space="preserve">  "vehicle_type": "diagonal_dual_steer_drive_agv",</w:t>
        <w:br/>
        <w:t xml:space="preserve">  "active_drive_steer_wheels": ["LF", "RR"],</w:t>
        <w:br/>
        <w:t xml:space="preserve">  "passive_wheels": ["RF", "LR"],</w:t>
        <w:br/>
        <w:t xml:space="preserve">  "Ts": 0.01,</w:t>
        <w:br/>
        <w:t xml:space="preserve">  "seq_len": 128,</w:t>
        <w:br/>
        <w:t xml:space="preserve">  "horizon_steps": 20,</w:t>
        <w:br/>
        <w:t xml:space="preserve">  "horizon_seconds": 0.20,</w:t>
        <w:br/>
        <w:t xml:space="preserve">  "feature_policy": "keep_current_algorithm_inputs_unchanged",</w:t>
        <w:br/>
        <w:t xml:space="preserve">  "split_policy": "run_level_split_only",</w:t>
        <w:br/>
        <w:t xml:space="preserve">  "confidence_policy": "derive_classification_confidence_from_softmax_and_export",</w:t>
        <w:br/>
        <w:t xml:space="preserve">  "no_new_inputs": true</w:t>
        <w:br/>
        <w:t>}</w:t>
        <w:br/>
      </w:r>
    </w:p>
    <w:p>
      <w:pPr>
        <w:pStyle w:val="Heading1"/>
      </w:pPr>
      <w:r>
        <w:t>12. 评价指标要求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指标类别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必须统计的指标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主状态分类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accuracy、macro F1、flat/uphill/downhill recall、混淆矩阵、按置信度分桶错误率。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转弯分类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straight/left/right recall、转弯过渡段 F1、turn_confidence 分布。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坡度回归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theta MAE、RMSE、最大误差、上坡/下坡分开 MAE、按坡度区间 MAE、坡顶/坡底过渡 MAE。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低置信度诊断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confidence &lt; 0.6 或自定义阈值的窗口比例、对应工况分布、错误率。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闭环测试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横向误差 RMS、最大横向误差、航向误差 RMS、电流峰值、控制振荡、路径是否完成。</w:t>
            </w:r>
          </w:p>
        </w:tc>
      </w:tr>
    </w:tbl>
    <w:p>
      <w:pPr>
        <w:pStyle w:val="Heading1"/>
      </w:pPr>
      <w:r>
        <w:t>13.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验收项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通过标准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输入接口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GRU 与 ModernTCN 的 input_dim、feature_names、在线推理输入格式与当前算法保持一致。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仿真步长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所有数据生成、标签对齐、窗口切片均以 Ts = 0.01 s 为准，没有改成其他步长。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车辆结构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数据特征和文档 metadata 明确 LF/RR 为动力舵轮，RF/LR 为从动轮。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长段数据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训练集中包含多条完整长路径 run，且 run-level split 生效。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坡度覆盖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坡度事件分布在不同路径位置，并包含上坡、下坡、坡顶、坡底、坡道转弯。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置信度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评估输出文件和在线推理结果中包含 main_confidence 与 turn_confidence。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无未来泄漏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输入窗口不包含未来传感器；归一化参数只来自训练集；验证/测试 run 未参与训练。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公平对比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GRU 与 ModernTCN 使用同一数据集和同一评价脚本。</w:t>
            </w:r>
          </w:p>
        </w:tc>
      </w:tr>
    </w:tbl>
    <w:p>
      <w:pPr>
        <w:pStyle w:val="Heading1"/>
      </w:pPr>
      <w:r>
        <w:t>14. 最终结论</w:t>
      </w:r>
    </w:p>
    <w:p>
      <w:r>
        <w:t>本版技术要求在不修改输入信号、不修改 0.01 s 仿真步长、不改变对角式双舵轮车辆结构的前提下，要求将训练数据集从短路径为主体升级为长段连续路径为主体。核心改造点是路径生成、工况分布、坡度样本设计、run-level 划分、窗口切片、标签对齐、置信度输出和分工况评估，而不是扩展输入特征或改变采样周期。</w:t>
      </w:r>
    </w:p>
    <w:p>
      <w:r>
        <w:t>对于 Codex 来说，本次任务的边界非常明确：保持当前算法输入接口和时间基准不变，围绕更合理的数据集生成与评估体系进行代码生成。这样可以降低对现有 GRU、ModernTCN、ONNX 导出和 MATLAB/Simulink 推理链路的破坏风险，同时显著提高模型在长时间复杂路径跟踪场景中的可信度和可用性。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AGV GRU/ModernTCN 数据集技术要求 - 对角式双舵轮，Ts=0.01s，输入不变，置信度保留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27" w:right="113"/>
    </w:pPr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面向对角式双舵轮 AGV 的 GRU 与 ModernTCN 训练数据集技术要求</dc:title>
  <dc:subject>输入信号保持不变、Ts=0.01s、置信度保留、长段数据集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