
<file path=[Content_Types].xml><?xml version="1.0" encoding="utf-8"?>
<Types xmlns="http://schemas.openxmlformats.org/package/2006/content-types">
  <Default Extension="rels" ContentType="application/vnd.openxmlformats-package.relationships+xml"/>
  <Default Extension="xml" ContentType="application/xml"/>
  <Override PartName="/word/document.xml" ContentType="application/vnd.openxmlformats-officedocument.wordprocessingml.document.main+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p w14:paraId="4AE0AD9E" w14:textId="77777777" w:rsidR="008C5520" w:rsidRDefault="00BE5E16">
      <w:pPr>
        <w:spacing w:before="900" w:after="240"/>
        <w:jc w:val="center"/>
        <w:rPr>
          <w:rFonts w:hint="eastAsia"/>
        </w:rPr>
      </w:pPr>
      <w:r>
        <w:rPr>
          <w:rFonts w:ascii="黑体" w:eastAsia="黑体" w:hAnsi="黑体" w:cs="黑体"/>
          <w:b/>
          <w:bCs/>
          <w:color w:val="17365D"/>
          <w:sz w:val="42"/>
          <w:szCs w:val="42"/>
        </w:rPr>
        <w:t xml:space="preserve">IEEE ACCESS </w:t>
      </w:r>
      <w:r>
        <w:rPr>
          <w:rFonts w:ascii="黑体" w:eastAsia="黑体" w:hAnsi="黑体" w:cs="黑体"/>
          <w:b/>
          <w:bCs/>
          <w:color w:val="17365D"/>
          <w:sz w:val="42"/>
          <w:szCs w:val="42"/>
        </w:rPr>
        <w:t>返稿意见与修改指引</w:t>
      </w:r>
    </w:p>
    <w:p w14:paraId="28715586" w14:textId="77777777" w:rsidR="008C5520" w:rsidRDefault="00BE5E16">
      <w:pPr>
        <w:spacing w:after="520"/>
        <w:jc w:val="center"/>
        <w:rPr>
          <w:rFonts w:hint="eastAsia"/>
        </w:rPr>
      </w:pPr>
      <w:r>
        <w:rPr>
          <w:rFonts w:ascii="Arial" w:eastAsia="Arial" w:hAnsi="Arial" w:cs="Arial"/>
          <w:b/>
          <w:bCs/>
          <w:color w:val="2F5597"/>
          <w:sz w:val="25"/>
          <w:szCs w:val="25"/>
        </w:rPr>
        <w:t>Manuscript ID: Access-2026-39730</w:t>
      </w:r>
    </w:p>
    <w:p w14:paraId="1EEAC854" w14:textId="77777777" w:rsidR="008C5520" w:rsidRDefault="00BE5E16">
      <w:pPr>
        <w:spacing w:after="210"/>
        <w:jc w:val="center"/>
        <w:rPr>
          <w:rFonts w:hint="eastAsia"/>
        </w:rPr>
      </w:pPr>
      <w:r>
        <w:rPr>
          <w:rFonts w:ascii="Arial" w:eastAsia="Arial" w:hAnsi="Arial" w:cs="Arial"/>
          <w:b/>
          <w:bCs/>
          <w:color w:val="17365D"/>
          <w:sz w:val="25"/>
          <w:szCs w:val="25"/>
        </w:rPr>
        <w:t>Slope-Aware LPV-MPC Path Tracking of a Dual-Steering-Wheel AGV</w:t>
      </w:r>
    </w:p>
    <w:p w14:paraId="3013FF68" w14:textId="77777777" w:rsidR="008C5520" w:rsidRDefault="00BE5E16">
      <w:pPr>
        <w:spacing w:after="650"/>
        <w:jc w:val="center"/>
        <w:rPr>
          <w:rFonts w:hint="eastAsia"/>
        </w:rPr>
      </w:pPr>
      <w:r>
        <w:rPr>
          <w:rFonts w:ascii="Arial" w:eastAsia="Arial" w:hAnsi="Arial" w:cs="Arial"/>
          <w:b/>
          <w:bCs/>
          <w:color w:val="17365D"/>
          <w:sz w:val="25"/>
          <w:szCs w:val="25"/>
        </w:rPr>
        <w:t>with Time-Lag-Enhanced ModernTCN Perception</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C5520" w14:paraId="6CE41DBB" w14:textId="77777777">
        <w:tblPrEx>
          <w:tblCellMar>
            <w:top w:w="0" w:type="dxa"/>
            <w:bottom w:w="0" w:type="dxa"/>
          </w:tblCellMar>
        </w:tblPrEx>
        <w:tc>
          <w:tcPr>
            <w:tcW w:w="0" w:type="auto"/>
            <w:tcBorders>
              <w:top w:val="single" w:sz="4" w:space="0" w:color="B7C9D6"/>
              <w:left w:val="single" w:sz="4" w:space="0" w:color="B7C9D6"/>
              <w:bottom w:val="single" w:sz="4" w:space="0" w:color="B7C9D6"/>
              <w:right w:val="single" w:sz="4" w:space="0" w:color="B7C9D6"/>
            </w:tcBorders>
            <w:shd w:val="clear" w:color="auto" w:fill="FCE4D6"/>
            <w:tcMar>
              <w:top w:w="120" w:type="dxa"/>
              <w:left w:w="180" w:type="dxa"/>
              <w:bottom w:w="120" w:type="dxa"/>
              <w:right w:w="180" w:type="dxa"/>
            </w:tcMar>
          </w:tcPr>
          <w:p w14:paraId="0A39F7CD" w14:textId="77777777" w:rsidR="008C5520" w:rsidRDefault="00BE5E16">
            <w:pPr>
              <w:spacing w:line="320" w:lineRule="auto"/>
              <w:jc w:val="both"/>
              <w:rPr>
                <w:rFonts w:hint="eastAsia"/>
              </w:rPr>
            </w:pPr>
            <w:r>
              <w:rPr>
                <w:b/>
                <w:bCs/>
                <w:color w:val="9C0006"/>
              </w:rPr>
              <w:t>文档用途：</w:t>
            </w:r>
            <w:r>
              <w:rPr>
                <w:color w:val="000000"/>
              </w:rPr>
              <w:t>本文件用于完整保存编辑决定、审稿意见、重新投稿要求及后续修改指引。所有标注为</w:t>
            </w:r>
            <w:r>
              <w:rPr>
                <w:color w:val="000000"/>
              </w:rPr>
              <w:t>“</w:t>
            </w:r>
            <w:r>
              <w:rPr>
                <w:color w:val="000000"/>
              </w:rPr>
              <w:t>严谨译文</w:t>
            </w:r>
            <w:r>
              <w:rPr>
                <w:color w:val="000000"/>
              </w:rPr>
              <w:t>”</w:t>
            </w:r>
            <w:r>
              <w:rPr>
                <w:color w:val="000000"/>
              </w:rPr>
              <w:t>的内容均按返稿材料忠实翻译；所有标注为</w:t>
            </w:r>
            <w:r>
              <w:rPr>
                <w:color w:val="000000"/>
              </w:rPr>
              <w:t>“</w:t>
            </w:r>
            <w:r>
              <w:rPr>
                <w:color w:val="000000"/>
              </w:rPr>
              <w:t>执行指引</w:t>
            </w:r>
            <w:r>
              <w:rPr>
                <w:color w:val="000000"/>
              </w:rPr>
              <w:t>”</w:t>
            </w:r>
            <w:r>
              <w:rPr>
                <w:color w:val="000000"/>
              </w:rPr>
              <w:t>的内容均为后续工作的内部拆解，不是审稿人的原话。</w:t>
            </w:r>
          </w:p>
        </w:tc>
      </w:tr>
    </w:tbl>
    <w:p w14:paraId="065579DC" w14:textId="77777777" w:rsidR="008C5520" w:rsidRDefault="008C5520">
      <w:pPr>
        <w:spacing w:after="180"/>
        <w:jc w:val="both"/>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629"/>
        <w:gridCol w:w="7107"/>
      </w:tblGrid>
      <w:tr w:rsidR="008C5520" w14:paraId="3122CF97" w14:textId="77777777">
        <w:tblPrEx>
          <w:tblCellMar>
            <w:top w:w="0" w:type="dxa"/>
            <w:bottom w:w="0" w:type="dxa"/>
          </w:tblCellMar>
        </w:tblPrEx>
        <w:trPr>
          <w:tblHeader/>
        </w:trPr>
        <w:tc>
          <w:tcPr>
            <w:tcW w:w="13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1830A831" w14:textId="77777777" w:rsidR="008C5520" w:rsidRDefault="00BE5E16">
            <w:pPr>
              <w:spacing w:line="290" w:lineRule="auto"/>
              <w:jc w:val="center"/>
              <w:rPr>
                <w:rFonts w:hint="eastAsia"/>
              </w:rPr>
            </w:pPr>
            <w:r>
              <w:rPr>
                <w:b/>
                <w:bCs/>
                <w:color w:val="FFFFFF"/>
                <w:sz w:val="19"/>
                <w:szCs w:val="19"/>
              </w:rPr>
              <w:t>项目</w:t>
            </w:r>
          </w:p>
        </w:tc>
        <w:tc>
          <w:tcPr>
            <w:tcW w:w="36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1DB12D47" w14:textId="77777777" w:rsidR="008C5520" w:rsidRDefault="00BE5E16">
            <w:pPr>
              <w:spacing w:line="290" w:lineRule="auto"/>
              <w:jc w:val="center"/>
              <w:rPr>
                <w:rFonts w:hint="eastAsia"/>
              </w:rPr>
            </w:pPr>
            <w:r>
              <w:rPr>
                <w:b/>
                <w:bCs/>
                <w:color w:val="FFFFFF"/>
                <w:sz w:val="19"/>
                <w:szCs w:val="19"/>
              </w:rPr>
              <w:t>信息</w:t>
            </w:r>
          </w:p>
        </w:tc>
      </w:tr>
      <w:tr w:rsidR="008C5520" w14:paraId="4D0A89B4" w14:textId="77777777">
        <w:tblPrEx>
          <w:tblCellMar>
            <w:top w:w="0" w:type="dxa"/>
            <w:bottom w:w="0" w:type="dxa"/>
          </w:tblCellMar>
        </w:tblPrEx>
        <w:tc>
          <w:tcPr>
            <w:tcW w:w="13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F82A2AF" w14:textId="77777777" w:rsidR="008C5520" w:rsidRDefault="00BE5E16">
            <w:pPr>
              <w:spacing w:line="290" w:lineRule="auto"/>
              <w:rPr>
                <w:rFonts w:hint="eastAsia"/>
              </w:rPr>
            </w:pPr>
            <w:r>
              <w:rPr>
                <w:color w:val="000000"/>
                <w:sz w:val="19"/>
                <w:szCs w:val="19"/>
              </w:rPr>
              <w:t>决定邮件日期</w:t>
            </w:r>
          </w:p>
        </w:tc>
        <w:tc>
          <w:tcPr>
            <w:tcW w:w="36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1A7CA58" w14:textId="77777777" w:rsidR="008C5520" w:rsidRDefault="00BE5E16">
            <w:pPr>
              <w:spacing w:line="290" w:lineRule="auto"/>
              <w:rPr>
                <w:rFonts w:hint="eastAsia"/>
              </w:rPr>
            </w:pPr>
            <w:r>
              <w:rPr>
                <w:color w:val="000000"/>
                <w:sz w:val="19"/>
                <w:szCs w:val="19"/>
              </w:rPr>
              <w:t xml:space="preserve">2026 </w:t>
            </w:r>
            <w:r>
              <w:rPr>
                <w:color w:val="000000"/>
                <w:sz w:val="19"/>
                <w:szCs w:val="19"/>
              </w:rPr>
              <w:t>年</w:t>
            </w:r>
            <w:r>
              <w:rPr>
                <w:color w:val="000000"/>
                <w:sz w:val="19"/>
                <w:szCs w:val="19"/>
              </w:rPr>
              <w:t xml:space="preserve"> 9 </w:t>
            </w:r>
            <w:r>
              <w:rPr>
                <w:color w:val="000000"/>
                <w:sz w:val="19"/>
                <w:szCs w:val="19"/>
              </w:rPr>
              <w:t>月</w:t>
            </w:r>
            <w:r>
              <w:rPr>
                <w:color w:val="000000"/>
                <w:sz w:val="19"/>
                <w:szCs w:val="19"/>
              </w:rPr>
              <w:t xml:space="preserve"> 15 </w:t>
            </w:r>
            <w:r>
              <w:rPr>
                <w:color w:val="000000"/>
                <w:sz w:val="19"/>
                <w:szCs w:val="19"/>
              </w:rPr>
              <w:t>日</w:t>
            </w:r>
          </w:p>
        </w:tc>
      </w:tr>
      <w:tr w:rsidR="008C5520" w14:paraId="0BB5E355" w14:textId="77777777">
        <w:tblPrEx>
          <w:tblCellMar>
            <w:top w:w="0" w:type="dxa"/>
            <w:bottom w:w="0" w:type="dxa"/>
          </w:tblCellMar>
        </w:tblPrEx>
        <w:tc>
          <w:tcPr>
            <w:tcW w:w="13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2851A26C" w14:textId="77777777" w:rsidR="008C5520" w:rsidRDefault="00BE5E16">
            <w:pPr>
              <w:spacing w:line="290" w:lineRule="auto"/>
              <w:rPr>
                <w:rFonts w:hint="eastAsia"/>
              </w:rPr>
            </w:pPr>
            <w:r>
              <w:rPr>
                <w:color w:val="000000"/>
                <w:sz w:val="19"/>
                <w:szCs w:val="19"/>
              </w:rPr>
              <w:t>整理日期</w:t>
            </w:r>
          </w:p>
        </w:tc>
        <w:tc>
          <w:tcPr>
            <w:tcW w:w="36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ED0CF84" w14:textId="77777777" w:rsidR="008C5520" w:rsidRDefault="00BE5E16">
            <w:pPr>
              <w:spacing w:line="290" w:lineRule="auto"/>
              <w:rPr>
                <w:rFonts w:hint="eastAsia"/>
              </w:rPr>
            </w:pPr>
            <w:r>
              <w:rPr>
                <w:color w:val="000000"/>
                <w:sz w:val="19"/>
                <w:szCs w:val="19"/>
              </w:rPr>
              <w:t xml:space="preserve">2026 </w:t>
            </w:r>
            <w:r>
              <w:rPr>
                <w:color w:val="000000"/>
                <w:sz w:val="19"/>
                <w:szCs w:val="19"/>
              </w:rPr>
              <w:t>年</w:t>
            </w:r>
            <w:r>
              <w:rPr>
                <w:color w:val="000000"/>
                <w:sz w:val="19"/>
                <w:szCs w:val="19"/>
              </w:rPr>
              <w:t xml:space="preserve"> 9 </w:t>
            </w:r>
            <w:r>
              <w:rPr>
                <w:color w:val="000000"/>
                <w:sz w:val="19"/>
                <w:szCs w:val="19"/>
              </w:rPr>
              <w:t>月</w:t>
            </w:r>
            <w:r>
              <w:rPr>
                <w:color w:val="000000"/>
                <w:sz w:val="19"/>
                <w:szCs w:val="19"/>
              </w:rPr>
              <w:t xml:space="preserve"> 18 </w:t>
            </w:r>
            <w:r>
              <w:rPr>
                <w:color w:val="000000"/>
                <w:sz w:val="19"/>
                <w:szCs w:val="19"/>
              </w:rPr>
              <w:t>日</w:t>
            </w:r>
          </w:p>
        </w:tc>
      </w:tr>
      <w:tr w:rsidR="008C5520" w14:paraId="061EC2E8" w14:textId="77777777">
        <w:tblPrEx>
          <w:tblCellMar>
            <w:top w:w="0" w:type="dxa"/>
            <w:bottom w:w="0" w:type="dxa"/>
          </w:tblCellMar>
        </w:tblPrEx>
        <w:tc>
          <w:tcPr>
            <w:tcW w:w="13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BDEE854" w14:textId="77777777" w:rsidR="008C5520" w:rsidRDefault="00BE5E16">
            <w:pPr>
              <w:spacing w:line="290" w:lineRule="auto"/>
              <w:rPr>
                <w:rFonts w:hint="eastAsia"/>
              </w:rPr>
            </w:pPr>
            <w:r>
              <w:rPr>
                <w:color w:val="000000"/>
                <w:sz w:val="19"/>
                <w:szCs w:val="19"/>
              </w:rPr>
              <w:t>期刊</w:t>
            </w:r>
          </w:p>
        </w:tc>
        <w:tc>
          <w:tcPr>
            <w:tcW w:w="36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183BE0D" w14:textId="77777777" w:rsidR="008C5520" w:rsidRDefault="00BE5E16">
            <w:pPr>
              <w:spacing w:line="290" w:lineRule="auto"/>
              <w:rPr>
                <w:rFonts w:hint="eastAsia"/>
              </w:rPr>
            </w:pPr>
            <w:r>
              <w:rPr>
                <w:color w:val="000000"/>
                <w:sz w:val="19"/>
                <w:szCs w:val="19"/>
              </w:rPr>
              <w:t>IEEE Access</w:t>
            </w:r>
          </w:p>
        </w:tc>
      </w:tr>
      <w:tr w:rsidR="008C5520" w14:paraId="24AA5E09" w14:textId="77777777">
        <w:tblPrEx>
          <w:tblCellMar>
            <w:top w:w="0" w:type="dxa"/>
            <w:bottom w:w="0" w:type="dxa"/>
          </w:tblCellMar>
        </w:tblPrEx>
        <w:tc>
          <w:tcPr>
            <w:tcW w:w="13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6527EB03" w14:textId="77777777" w:rsidR="008C5520" w:rsidRDefault="00BE5E16">
            <w:pPr>
              <w:spacing w:line="290" w:lineRule="auto"/>
              <w:rPr>
                <w:rFonts w:hint="eastAsia"/>
              </w:rPr>
            </w:pPr>
            <w:r>
              <w:rPr>
                <w:color w:val="000000"/>
                <w:sz w:val="19"/>
                <w:szCs w:val="19"/>
              </w:rPr>
              <w:t>副编辑</w:t>
            </w:r>
          </w:p>
        </w:tc>
        <w:tc>
          <w:tcPr>
            <w:tcW w:w="36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476FBCCA" w14:textId="77777777" w:rsidR="008C5520" w:rsidRDefault="00BE5E16">
            <w:pPr>
              <w:spacing w:line="290" w:lineRule="auto"/>
              <w:rPr>
                <w:rFonts w:hint="eastAsia"/>
              </w:rPr>
            </w:pPr>
            <w:r>
              <w:rPr>
                <w:color w:val="000000"/>
                <w:sz w:val="19"/>
                <w:szCs w:val="19"/>
              </w:rPr>
              <w:t>Dr. Anandakumar Haldorai</w:t>
            </w:r>
          </w:p>
        </w:tc>
      </w:tr>
      <w:tr w:rsidR="008C5520" w14:paraId="78C9B806" w14:textId="77777777">
        <w:tblPrEx>
          <w:tblCellMar>
            <w:top w:w="0" w:type="dxa"/>
            <w:bottom w:w="0" w:type="dxa"/>
          </w:tblCellMar>
        </w:tblPrEx>
        <w:tc>
          <w:tcPr>
            <w:tcW w:w="13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6E65224" w14:textId="77777777" w:rsidR="008C5520" w:rsidRDefault="00BE5E16">
            <w:pPr>
              <w:spacing w:line="290" w:lineRule="auto"/>
              <w:rPr>
                <w:rFonts w:hint="eastAsia"/>
              </w:rPr>
            </w:pPr>
            <w:r>
              <w:rPr>
                <w:color w:val="000000"/>
                <w:sz w:val="19"/>
                <w:szCs w:val="19"/>
              </w:rPr>
              <w:t>文章管理员</w:t>
            </w:r>
          </w:p>
        </w:tc>
        <w:tc>
          <w:tcPr>
            <w:tcW w:w="36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CEA04DF" w14:textId="77777777" w:rsidR="008C5520" w:rsidRDefault="00BE5E16">
            <w:pPr>
              <w:spacing w:line="290" w:lineRule="auto"/>
              <w:rPr>
                <w:rFonts w:hint="eastAsia"/>
              </w:rPr>
            </w:pPr>
            <w:r>
              <w:rPr>
                <w:color w:val="000000"/>
                <w:sz w:val="19"/>
                <w:szCs w:val="19"/>
              </w:rPr>
              <w:t>Mr. Ankit Srivastava</w:t>
            </w:r>
          </w:p>
        </w:tc>
      </w:tr>
      <w:tr w:rsidR="008C5520" w14:paraId="39F19593" w14:textId="77777777">
        <w:tblPrEx>
          <w:tblCellMar>
            <w:top w:w="0" w:type="dxa"/>
            <w:bottom w:w="0" w:type="dxa"/>
          </w:tblCellMar>
        </w:tblPrEx>
        <w:tc>
          <w:tcPr>
            <w:tcW w:w="13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6DA5B64A" w14:textId="77777777" w:rsidR="008C5520" w:rsidRDefault="00BE5E16">
            <w:pPr>
              <w:spacing w:line="290" w:lineRule="auto"/>
              <w:rPr>
                <w:rFonts w:hint="eastAsia"/>
              </w:rPr>
            </w:pPr>
            <w:r>
              <w:rPr>
                <w:color w:val="000000"/>
                <w:sz w:val="19"/>
                <w:szCs w:val="19"/>
              </w:rPr>
              <w:t>审稿材料</w:t>
            </w:r>
          </w:p>
        </w:tc>
        <w:tc>
          <w:tcPr>
            <w:tcW w:w="36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94F1552" w14:textId="77777777" w:rsidR="008C5520" w:rsidRDefault="00BE5E16">
            <w:pPr>
              <w:spacing w:line="290" w:lineRule="auto"/>
              <w:rPr>
                <w:rFonts w:hint="eastAsia"/>
              </w:rPr>
            </w:pPr>
            <w:r>
              <w:rPr>
                <w:color w:val="000000"/>
                <w:sz w:val="19"/>
                <w:szCs w:val="19"/>
              </w:rPr>
              <w:t>编辑决定邮件、审稿人</w:t>
            </w:r>
            <w:r>
              <w:rPr>
                <w:color w:val="000000"/>
                <w:sz w:val="19"/>
                <w:szCs w:val="19"/>
              </w:rPr>
              <w:t xml:space="preserve"> 2 </w:t>
            </w:r>
            <w:r>
              <w:rPr>
                <w:color w:val="000000"/>
                <w:sz w:val="19"/>
                <w:szCs w:val="19"/>
              </w:rPr>
              <w:t>附件</w:t>
            </w:r>
            <w:r>
              <w:rPr>
                <w:color w:val="000000"/>
                <w:sz w:val="19"/>
                <w:szCs w:val="19"/>
              </w:rPr>
              <w:t xml:space="preserve"> PDF</w:t>
            </w:r>
            <w:r>
              <w:rPr>
                <w:color w:val="000000"/>
                <w:sz w:val="19"/>
                <w:szCs w:val="19"/>
              </w:rPr>
              <w:t>、回复模板、作者变更表、重新投稿清单</w:t>
            </w:r>
          </w:p>
        </w:tc>
      </w:tr>
    </w:tbl>
    <w:p w14:paraId="0403F761" w14:textId="77777777" w:rsidR="008C5520" w:rsidRDefault="00BE5E16">
      <w:pPr>
        <w:rPr>
          <w:rFonts w:hint="eastAsia"/>
        </w:rPr>
      </w:pPr>
      <w:r>
        <w:br w:type="page"/>
      </w:r>
    </w:p>
    <w:p w14:paraId="273608F3" w14:textId="77777777" w:rsidR="008C5520" w:rsidRDefault="00BE5E16">
      <w:pPr>
        <w:pStyle w:val="1"/>
        <w:spacing w:before="220" w:after="120"/>
        <w:rPr>
          <w:rFonts w:hint="eastAsia"/>
        </w:rPr>
      </w:pPr>
      <w:r>
        <w:lastRenderedPageBreak/>
        <w:t>一、结论先行与文档边界</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C5520" w14:paraId="6EE24968" w14:textId="77777777">
        <w:tblPrEx>
          <w:tblCellMar>
            <w:top w:w="0" w:type="dxa"/>
            <w:bottom w:w="0" w:type="dxa"/>
          </w:tblCellMar>
        </w:tblPrEx>
        <w:tc>
          <w:tcPr>
            <w:tcW w:w="0" w:type="auto"/>
            <w:tcBorders>
              <w:top w:val="single" w:sz="4" w:space="0" w:color="B7C9D6"/>
              <w:left w:val="single" w:sz="4" w:space="0" w:color="B7C9D6"/>
              <w:bottom w:val="single" w:sz="4" w:space="0" w:color="B7C9D6"/>
              <w:right w:val="single" w:sz="4" w:space="0" w:color="B7C9D6"/>
            </w:tcBorders>
            <w:shd w:val="clear" w:color="auto" w:fill="FCE4D6"/>
            <w:tcMar>
              <w:top w:w="120" w:type="dxa"/>
              <w:left w:w="180" w:type="dxa"/>
              <w:bottom w:w="120" w:type="dxa"/>
              <w:right w:w="180" w:type="dxa"/>
            </w:tcMar>
          </w:tcPr>
          <w:p w14:paraId="5F021B68" w14:textId="77777777" w:rsidR="008C5520" w:rsidRDefault="00BE5E16">
            <w:pPr>
              <w:spacing w:line="320" w:lineRule="auto"/>
              <w:jc w:val="both"/>
              <w:rPr>
                <w:rFonts w:hint="eastAsia"/>
              </w:rPr>
            </w:pPr>
            <w:r>
              <w:rPr>
                <w:b/>
                <w:bCs/>
                <w:color w:val="9C0006"/>
              </w:rPr>
              <w:t>决定性质：</w:t>
            </w:r>
            <w:r>
              <w:rPr>
                <w:color w:val="000000"/>
              </w:rPr>
              <w:t>稿件</w:t>
            </w:r>
            <w:r>
              <w:rPr>
                <w:color w:val="000000"/>
              </w:rPr>
              <w:t>“</w:t>
            </w:r>
            <w:r>
              <w:rPr>
                <w:color w:val="000000"/>
              </w:rPr>
              <w:t>以当前形式不建议发表</w:t>
            </w:r>
            <w:r>
              <w:rPr>
                <w:color w:val="000000"/>
              </w:rPr>
              <w:t>”</w:t>
            </w:r>
            <w:r>
              <w:rPr>
                <w:color w:val="000000"/>
              </w:rPr>
              <w:t>。由于</w:t>
            </w:r>
            <w:r>
              <w:rPr>
                <w:color w:val="000000"/>
              </w:rPr>
              <w:t xml:space="preserve"> IEEE Access </w:t>
            </w:r>
            <w:r>
              <w:rPr>
                <w:color w:val="000000"/>
              </w:rPr>
              <w:t>采用二元审稿流程，即使只需较小修改也会作拒稿处理；编辑明确鼓励作者解决意见后重新投稿。此次只有一次重新投稿机会。若未解决先前关切，或副编辑仍认为存在实质性技术问题，稿件将被拒绝且不再允许再次重投。</w:t>
            </w:r>
          </w:p>
        </w:tc>
      </w:tr>
    </w:tbl>
    <w:p w14:paraId="7A2718CF" w14:textId="77777777" w:rsidR="008C5520" w:rsidRDefault="00BE5E16">
      <w:pPr>
        <w:spacing w:after="110"/>
        <w:ind w:firstLine="420"/>
        <w:jc w:val="both"/>
        <w:rPr>
          <w:rFonts w:hint="eastAsia"/>
        </w:rPr>
      </w:pPr>
      <w:r>
        <w:rPr>
          <w:color w:val="000000"/>
        </w:rPr>
        <w:t>返稿邮件没有写明具体的重新投稿截止日期。后续如作者门户显示截止时间，应以门户记录为准并另行记录。</w:t>
      </w:r>
    </w:p>
    <w:p w14:paraId="48EFAB1E" w14:textId="77777777" w:rsidR="008C5520" w:rsidRDefault="00BE5E16">
      <w:pPr>
        <w:spacing w:after="110"/>
        <w:ind w:firstLine="420"/>
        <w:jc w:val="both"/>
        <w:rPr>
          <w:rFonts w:hint="eastAsia"/>
        </w:rPr>
      </w:pPr>
      <w:r>
        <w:rPr>
          <w:color w:val="000000"/>
        </w:rPr>
        <w:t>本轮不能按</w:t>
      </w:r>
      <w:r>
        <w:rPr>
          <w:color w:val="000000"/>
        </w:rPr>
        <w:t>“</w:t>
      </w:r>
      <w:r>
        <w:rPr>
          <w:color w:val="000000"/>
        </w:rPr>
        <w:t>文字小修</w:t>
      </w:r>
      <w:r>
        <w:rPr>
          <w:color w:val="000000"/>
        </w:rPr>
        <w:t>”</w:t>
      </w:r>
      <w:r>
        <w:rPr>
          <w:color w:val="000000"/>
        </w:rPr>
        <w:t>处理。两位审稿人均要求提高验证独立性、模型与算法可复现性、统计解释的准确性，并收缩缺少理论证明或物理实验支撑的结论。</w:t>
      </w:r>
    </w:p>
    <w:p w14:paraId="2D8489B9" w14:textId="77777777" w:rsidR="008C5520" w:rsidRDefault="00BE5E16">
      <w:pPr>
        <w:pStyle w:val="2"/>
        <w:spacing w:before="160" w:after="120"/>
        <w:rPr>
          <w:rFonts w:hint="eastAsia"/>
        </w:rPr>
      </w:pPr>
      <w:r>
        <w:t xml:space="preserve">1.1 </w:t>
      </w:r>
      <w:r>
        <w:t>两位审稿人共同指向的最高风险项</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4"/>
        <w:gridCol w:w="3310"/>
        <w:gridCol w:w="2142"/>
        <w:gridCol w:w="3310"/>
      </w:tblGrid>
      <w:tr w:rsidR="008C5520" w14:paraId="08425487" w14:textId="77777777">
        <w:tblPrEx>
          <w:tblCellMar>
            <w:top w:w="0" w:type="dxa"/>
            <w:bottom w:w="0" w:type="dxa"/>
          </w:tblCellMar>
        </w:tblPrEx>
        <w:trPr>
          <w:tblHeader/>
        </w:trPr>
        <w:tc>
          <w:tcPr>
            <w:tcW w:w="5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50A4404B" w14:textId="77777777" w:rsidR="008C5520" w:rsidRDefault="00BE5E16">
            <w:pPr>
              <w:spacing w:line="290" w:lineRule="auto"/>
              <w:jc w:val="center"/>
              <w:rPr>
                <w:rFonts w:hint="eastAsia"/>
              </w:rPr>
            </w:pPr>
            <w:r>
              <w:rPr>
                <w:b/>
                <w:bCs/>
                <w:color w:val="FFFFFF"/>
                <w:sz w:val="19"/>
                <w:szCs w:val="19"/>
              </w:rPr>
              <w:t>优先级</w:t>
            </w:r>
          </w:p>
        </w:tc>
        <w:tc>
          <w:tcPr>
            <w:tcW w:w="17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48435F07" w14:textId="77777777" w:rsidR="008C5520" w:rsidRDefault="00BE5E16">
            <w:pPr>
              <w:spacing w:line="290" w:lineRule="auto"/>
              <w:jc w:val="center"/>
              <w:rPr>
                <w:rFonts w:hint="eastAsia"/>
              </w:rPr>
            </w:pPr>
            <w:r>
              <w:rPr>
                <w:b/>
                <w:bCs/>
                <w:color w:val="FFFFFF"/>
                <w:sz w:val="19"/>
                <w:szCs w:val="19"/>
              </w:rPr>
              <w:t>共同风险</w:t>
            </w:r>
          </w:p>
        </w:tc>
        <w:tc>
          <w:tcPr>
            <w:tcW w:w="11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5BA16AF4" w14:textId="77777777" w:rsidR="008C5520" w:rsidRDefault="00BE5E16">
            <w:pPr>
              <w:spacing w:line="290" w:lineRule="auto"/>
              <w:jc w:val="center"/>
              <w:rPr>
                <w:rFonts w:hint="eastAsia"/>
              </w:rPr>
            </w:pPr>
            <w:r>
              <w:rPr>
                <w:b/>
                <w:bCs/>
                <w:color w:val="FFFFFF"/>
                <w:sz w:val="19"/>
                <w:szCs w:val="19"/>
              </w:rPr>
              <w:t>对应意见</w:t>
            </w:r>
          </w:p>
        </w:tc>
        <w:tc>
          <w:tcPr>
            <w:tcW w:w="17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5A91038E" w14:textId="77777777" w:rsidR="008C5520" w:rsidRDefault="00BE5E16">
            <w:pPr>
              <w:spacing w:line="290" w:lineRule="auto"/>
              <w:jc w:val="center"/>
              <w:rPr>
                <w:rFonts w:hint="eastAsia"/>
              </w:rPr>
            </w:pPr>
            <w:r>
              <w:rPr>
                <w:b/>
                <w:bCs/>
                <w:color w:val="FFFFFF"/>
                <w:sz w:val="19"/>
                <w:szCs w:val="19"/>
              </w:rPr>
              <w:t>最低交付物</w:t>
            </w:r>
          </w:p>
        </w:tc>
      </w:tr>
      <w:tr w:rsidR="008C5520" w14:paraId="38FF1FB4"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3B16EC5" w14:textId="77777777" w:rsidR="008C5520" w:rsidRDefault="00BE5E16">
            <w:pPr>
              <w:spacing w:line="290" w:lineRule="auto"/>
              <w:rPr>
                <w:rFonts w:hint="eastAsia"/>
              </w:rPr>
            </w:pPr>
            <w:r>
              <w:rPr>
                <w:color w:val="000000"/>
                <w:sz w:val="19"/>
                <w:szCs w:val="19"/>
              </w:rPr>
              <w:t>P0</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8F37074" w14:textId="77777777" w:rsidR="008C5520" w:rsidRDefault="00BE5E16">
            <w:pPr>
              <w:spacing w:line="290" w:lineRule="auto"/>
              <w:rPr>
                <w:rFonts w:hint="eastAsia"/>
              </w:rPr>
            </w:pPr>
            <w:r>
              <w:rPr>
                <w:color w:val="000000"/>
                <w:sz w:val="19"/>
                <w:szCs w:val="19"/>
              </w:rPr>
              <w:t>同一模型贯穿训练、</w:t>
            </w:r>
            <w:r>
              <w:rPr>
                <w:color w:val="000000"/>
                <w:sz w:val="19"/>
                <w:szCs w:val="19"/>
              </w:rPr>
              <w:t xml:space="preserve">LPV </w:t>
            </w:r>
            <w:r>
              <w:rPr>
                <w:color w:val="000000"/>
                <w:sz w:val="19"/>
                <w:szCs w:val="19"/>
              </w:rPr>
              <w:t>建库与闭环验证，存在匹配评估风险</w:t>
            </w:r>
          </w:p>
        </w:tc>
        <w:tc>
          <w:tcPr>
            <w:tcW w:w="11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2E2DF9C5" w14:textId="77777777" w:rsidR="008C5520" w:rsidRDefault="00BE5E16">
            <w:pPr>
              <w:spacing w:line="290" w:lineRule="auto"/>
              <w:rPr>
                <w:rFonts w:hint="eastAsia"/>
              </w:rPr>
            </w:pPr>
            <w:r>
              <w:rPr>
                <w:color w:val="000000"/>
                <w:sz w:val="19"/>
                <w:szCs w:val="19"/>
              </w:rPr>
              <w:t>R1-1</w:t>
            </w:r>
            <w:r>
              <w:rPr>
                <w:color w:val="000000"/>
                <w:sz w:val="19"/>
                <w:szCs w:val="19"/>
              </w:rPr>
              <w:t>；</w:t>
            </w:r>
            <w:r>
              <w:rPr>
                <w:color w:val="000000"/>
                <w:sz w:val="19"/>
                <w:szCs w:val="19"/>
              </w:rPr>
              <w:t>R2-10</w:t>
            </w:r>
            <w:r>
              <w:rPr>
                <w:color w:val="000000"/>
                <w:sz w:val="19"/>
                <w:szCs w:val="19"/>
              </w:rPr>
              <w:t>、</w:t>
            </w:r>
            <w:r>
              <w:rPr>
                <w:color w:val="000000"/>
                <w:sz w:val="19"/>
                <w:szCs w:val="19"/>
              </w:rPr>
              <w:t>26</w:t>
            </w:r>
            <w:r>
              <w:rPr>
                <w:color w:val="000000"/>
                <w:sz w:val="19"/>
                <w:szCs w:val="19"/>
              </w:rPr>
              <w:t>、</w:t>
            </w:r>
            <w:r>
              <w:rPr>
                <w:color w:val="000000"/>
                <w:sz w:val="19"/>
                <w:szCs w:val="19"/>
              </w:rPr>
              <w:t>30</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4D3B623" w14:textId="77777777" w:rsidR="008C5520" w:rsidRDefault="00BE5E16">
            <w:pPr>
              <w:spacing w:line="290" w:lineRule="auto"/>
              <w:rPr>
                <w:rFonts w:hint="eastAsia"/>
              </w:rPr>
            </w:pPr>
            <w:r>
              <w:rPr>
                <w:color w:val="000000"/>
                <w:sz w:val="19"/>
                <w:szCs w:val="19"/>
              </w:rPr>
              <w:t>独立</w:t>
            </w:r>
            <w:r>
              <w:rPr>
                <w:color w:val="000000"/>
                <w:sz w:val="19"/>
                <w:szCs w:val="19"/>
              </w:rPr>
              <w:t xml:space="preserve"> plant/</w:t>
            </w:r>
            <w:r>
              <w:rPr>
                <w:color w:val="000000"/>
                <w:sz w:val="19"/>
                <w:szCs w:val="19"/>
              </w:rPr>
              <w:t>参数失配压力测试；若无</w:t>
            </w:r>
            <w:r>
              <w:rPr>
                <w:color w:val="000000"/>
                <w:sz w:val="19"/>
                <w:szCs w:val="19"/>
              </w:rPr>
              <w:t xml:space="preserve"> HIL/</w:t>
            </w:r>
            <w:r>
              <w:rPr>
                <w:color w:val="000000"/>
                <w:sz w:val="19"/>
                <w:szCs w:val="19"/>
              </w:rPr>
              <w:t>实车，全面限定为仿真结论</w:t>
            </w:r>
          </w:p>
        </w:tc>
      </w:tr>
      <w:tr w:rsidR="008C5520" w14:paraId="6E600800"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2E6FFEB4" w14:textId="77777777" w:rsidR="008C5520" w:rsidRDefault="00BE5E16">
            <w:pPr>
              <w:spacing w:line="290" w:lineRule="auto"/>
              <w:rPr>
                <w:rFonts w:hint="eastAsia"/>
              </w:rPr>
            </w:pPr>
            <w:r>
              <w:rPr>
                <w:color w:val="000000"/>
                <w:sz w:val="19"/>
                <w:szCs w:val="19"/>
              </w:rPr>
              <w:t>P0</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98B0FB7" w14:textId="77777777" w:rsidR="008C5520" w:rsidRDefault="00BE5E16">
            <w:pPr>
              <w:spacing w:line="290" w:lineRule="auto"/>
              <w:rPr>
                <w:rFonts w:hint="eastAsia"/>
              </w:rPr>
            </w:pPr>
            <w:r>
              <w:rPr>
                <w:color w:val="000000"/>
                <w:sz w:val="19"/>
                <w:szCs w:val="19"/>
              </w:rPr>
              <w:t>数据划分可能泄漏路线模板结构</w:t>
            </w:r>
          </w:p>
        </w:tc>
        <w:tc>
          <w:tcPr>
            <w:tcW w:w="11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6E6AE89" w14:textId="77777777" w:rsidR="008C5520" w:rsidRDefault="00BE5E16">
            <w:pPr>
              <w:spacing w:line="290" w:lineRule="auto"/>
              <w:rPr>
                <w:rFonts w:hint="eastAsia"/>
              </w:rPr>
            </w:pPr>
            <w:r>
              <w:rPr>
                <w:color w:val="000000"/>
                <w:sz w:val="19"/>
                <w:szCs w:val="19"/>
              </w:rPr>
              <w:t>R1-2</w:t>
            </w:r>
            <w:r>
              <w:rPr>
                <w:color w:val="000000"/>
                <w:sz w:val="19"/>
                <w:szCs w:val="19"/>
              </w:rPr>
              <w:t>；</w:t>
            </w:r>
            <w:r>
              <w:rPr>
                <w:color w:val="000000"/>
                <w:sz w:val="19"/>
                <w:szCs w:val="19"/>
              </w:rPr>
              <w:t>R2-25</w:t>
            </w:r>
            <w:r>
              <w:rPr>
                <w:color w:val="000000"/>
                <w:sz w:val="19"/>
                <w:szCs w:val="19"/>
              </w:rPr>
              <w:t>、</w:t>
            </w:r>
            <w:r>
              <w:rPr>
                <w:color w:val="000000"/>
                <w:sz w:val="19"/>
                <w:szCs w:val="19"/>
              </w:rPr>
              <w:t>27</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AC26315" w14:textId="77777777" w:rsidR="008C5520" w:rsidRDefault="00BE5E16">
            <w:pPr>
              <w:spacing w:line="290" w:lineRule="auto"/>
              <w:rPr>
                <w:rFonts w:hint="eastAsia"/>
              </w:rPr>
            </w:pPr>
            <w:r>
              <w:rPr>
                <w:color w:val="000000"/>
                <w:sz w:val="19"/>
                <w:szCs w:val="19"/>
              </w:rPr>
              <w:t>模板级互斥划分、模板</w:t>
            </w:r>
            <w:r>
              <w:rPr>
                <w:color w:val="000000"/>
                <w:sz w:val="19"/>
                <w:szCs w:val="19"/>
              </w:rPr>
              <w:t xml:space="preserve"> ID </w:t>
            </w:r>
            <w:r>
              <w:rPr>
                <w:color w:val="000000"/>
                <w:sz w:val="19"/>
                <w:szCs w:val="19"/>
              </w:rPr>
              <w:t>证据、必要时重训与重算统计</w:t>
            </w:r>
          </w:p>
        </w:tc>
      </w:tr>
      <w:tr w:rsidR="008C5520" w14:paraId="1E82D419"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51FCD00" w14:textId="77777777" w:rsidR="008C5520" w:rsidRDefault="00BE5E16">
            <w:pPr>
              <w:spacing w:line="290" w:lineRule="auto"/>
              <w:rPr>
                <w:rFonts w:hint="eastAsia"/>
              </w:rPr>
            </w:pPr>
            <w:r>
              <w:rPr>
                <w:color w:val="000000"/>
                <w:sz w:val="19"/>
                <w:szCs w:val="19"/>
              </w:rPr>
              <w:t>P0</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60087382" w14:textId="77777777" w:rsidR="008C5520" w:rsidRDefault="00BE5E16">
            <w:pPr>
              <w:spacing w:line="290" w:lineRule="auto"/>
              <w:rPr>
                <w:rFonts w:hint="eastAsia"/>
              </w:rPr>
            </w:pPr>
            <w:r>
              <w:rPr>
                <w:color w:val="000000"/>
                <w:sz w:val="19"/>
                <w:szCs w:val="19"/>
              </w:rPr>
              <w:t>传感器、</w:t>
            </w:r>
            <w:r>
              <w:rPr>
                <w:color w:val="000000"/>
                <w:sz w:val="19"/>
                <w:szCs w:val="19"/>
              </w:rPr>
              <w:t xml:space="preserve">IMU </w:t>
            </w:r>
            <w:r>
              <w:rPr>
                <w:color w:val="000000"/>
                <w:sz w:val="19"/>
                <w:szCs w:val="19"/>
              </w:rPr>
              <w:t>扰动、观测器和融合定义不足</w:t>
            </w:r>
          </w:p>
        </w:tc>
        <w:tc>
          <w:tcPr>
            <w:tcW w:w="11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F441B77" w14:textId="77777777" w:rsidR="008C5520" w:rsidRDefault="00BE5E16">
            <w:pPr>
              <w:spacing w:line="290" w:lineRule="auto"/>
              <w:rPr>
                <w:rFonts w:hint="eastAsia"/>
              </w:rPr>
            </w:pPr>
            <w:r>
              <w:rPr>
                <w:color w:val="000000"/>
                <w:sz w:val="19"/>
                <w:szCs w:val="19"/>
              </w:rPr>
              <w:t>R1-3</w:t>
            </w:r>
            <w:r>
              <w:rPr>
                <w:color w:val="000000"/>
                <w:sz w:val="19"/>
                <w:szCs w:val="19"/>
              </w:rPr>
              <w:t>；</w:t>
            </w:r>
            <w:r>
              <w:rPr>
                <w:color w:val="000000"/>
                <w:sz w:val="19"/>
                <w:szCs w:val="19"/>
              </w:rPr>
              <w:t>R2-13</w:t>
            </w:r>
            <w:r>
              <w:rPr>
                <w:color w:val="000000"/>
                <w:sz w:val="19"/>
                <w:szCs w:val="19"/>
              </w:rPr>
              <w:t>、</w:t>
            </w:r>
            <w:r>
              <w:rPr>
                <w:color w:val="000000"/>
                <w:sz w:val="19"/>
                <w:szCs w:val="19"/>
              </w:rPr>
              <w:t>14</w:t>
            </w:r>
            <w:r>
              <w:rPr>
                <w:color w:val="000000"/>
                <w:sz w:val="19"/>
                <w:szCs w:val="19"/>
              </w:rPr>
              <w:t>、</w:t>
            </w:r>
            <w:r>
              <w:rPr>
                <w:color w:val="000000"/>
                <w:sz w:val="19"/>
                <w:szCs w:val="19"/>
              </w:rPr>
              <w:t>17—20</w:t>
            </w:r>
            <w:r>
              <w:rPr>
                <w:color w:val="000000"/>
                <w:sz w:val="19"/>
                <w:szCs w:val="19"/>
              </w:rPr>
              <w:t>、</w:t>
            </w:r>
            <w:r>
              <w:rPr>
                <w:color w:val="000000"/>
                <w:sz w:val="19"/>
                <w:szCs w:val="19"/>
              </w:rPr>
              <w:t>30</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2DE8AE2" w14:textId="77777777" w:rsidR="008C5520" w:rsidRDefault="00BE5E16">
            <w:pPr>
              <w:spacing w:line="290" w:lineRule="auto"/>
              <w:rPr>
                <w:rFonts w:hint="eastAsia"/>
              </w:rPr>
            </w:pPr>
            <w:r>
              <w:rPr>
                <w:color w:val="000000"/>
                <w:sz w:val="19"/>
                <w:szCs w:val="19"/>
              </w:rPr>
              <w:t>完整噪声</w:t>
            </w:r>
            <w:r>
              <w:rPr>
                <w:color w:val="000000"/>
                <w:sz w:val="19"/>
                <w:szCs w:val="19"/>
              </w:rPr>
              <w:t>/</w:t>
            </w:r>
            <w:r>
              <w:rPr>
                <w:color w:val="000000"/>
                <w:sz w:val="19"/>
                <w:szCs w:val="19"/>
              </w:rPr>
              <w:t>偏置</w:t>
            </w:r>
            <w:r>
              <w:rPr>
                <w:color w:val="000000"/>
                <w:sz w:val="19"/>
                <w:szCs w:val="19"/>
              </w:rPr>
              <w:t>/</w:t>
            </w:r>
            <w:r>
              <w:rPr>
                <w:color w:val="000000"/>
                <w:sz w:val="19"/>
                <w:szCs w:val="19"/>
              </w:rPr>
              <w:t>振动模型、观测器方程、融合公式与校准</w:t>
            </w:r>
          </w:p>
        </w:tc>
      </w:tr>
      <w:tr w:rsidR="008C5520" w14:paraId="7832526A"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C0F8E50" w14:textId="77777777" w:rsidR="008C5520" w:rsidRDefault="00BE5E16">
            <w:pPr>
              <w:spacing w:line="290" w:lineRule="auto"/>
              <w:rPr>
                <w:rFonts w:hint="eastAsia"/>
              </w:rPr>
            </w:pPr>
            <w:r>
              <w:rPr>
                <w:color w:val="000000"/>
                <w:sz w:val="19"/>
                <w:szCs w:val="19"/>
              </w:rPr>
              <w:t>P0</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BD354A1" w14:textId="77777777" w:rsidR="008C5520" w:rsidRDefault="00BE5E16">
            <w:pPr>
              <w:spacing w:line="290" w:lineRule="auto"/>
              <w:rPr>
                <w:rFonts w:hint="eastAsia"/>
              </w:rPr>
            </w:pPr>
            <w:r>
              <w:rPr>
                <w:color w:val="000000"/>
                <w:sz w:val="19"/>
                <w:szCs w:val="19"/>
              </w:rPr>
              <w:t>坡面载荷、力坐标和执行器物理模型存在一致性问题</w:t>
            </w:r>
          </w:p>
        </w:tc>
        <w:tc>
          <w:tcPr>
            <w:tcW w:w="11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562557F" w14:textId="77777777" w:rsidR="008C5520" w:rsidRDefault="00BE5E16">
            <w:pPr>
              <w:spacing w:line="290" w:lineRule="auto"/>
              <w:rPr>
                <w:rFonts w:hint="eastAsia"/>
              </w:rPr>
            </w:pPr>
            <w:r>
              <w:rPr>
                <w:color w:val="000000"/>
                <w:sz w:val="19"/>
                <w:szCs w:val="19"/>
              </w:rPr>
              <w:t>R1-5</w:t>
            </w:r>
            <w:r>
              <w:rPr>
                <w:color w:val="000000"/>
                <w:sz w:val="19"/>
                <w:szCs w:val="19"/>
              </w:rPr>
              <w:t>；</w:t>
            </w:r>
            <w:r>
              <w:rPr>
                <w:color w:val="000000"/>
                <w:sz w:val="19"/>
                <w:szCs w:val="19"/>
              </w:rPr>
              <w:t>R2-5—9</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787694AB" w14:textId="77777777" w:rsidR="008C5520" w:rsidRDefault="00BE5E16">
            <w:pPr>
              <w:spacing w:line="290" w:lineRule="auto"/>
              <w:rPr>
                <w:rFonts w:hint="eastAsia"/>
              </w:rPr>
            </w:pPr>
            <w:r>
              <w:rPr>
                <w:color w:val="000000"/>
                <w:sz w:val="19"/>
                <w:szCs w:val="19"/>
              </w:rPr>
              <w:t>重新推导、定量敏感性、参数补全及代码核验</w:t>
            </w:r>
          </w:p>
        </w:tc>
      </w:tr>
      <w:tr w:rsidR="008C5520" w14:paraId="54F36326"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D9094BC" w14:textId="77777777" w:rsidR="008C5520" w:rsidRDefault="00BE5E16">
            <w:pPr>
              <w:spacing w:line="290" w:lineRule="auto"/>
              <w:rPr>
                <w:rFonts w:hint="eastAsia"/>
              </w:rPr>
            </w:pPr>
            <w:r>
              <w:rPr>
                <w:color w:val="000000"/>
                <w:sz w:val="19"/>
                <w:szCs w:val="19"/>
              </w:rPr>
              <w:t>P0</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6EA6BD3F" w14:textId="77777777" w:rsidR="008C5520" w:rsidRDefault="00BE5E16">
            <w:pPr>
              <w:spacing w:line="290" w:lineRule="auto"/>
              <w:rPr>
                <w:rFonts w:hint="eastAsia"/>
              </w:rPr>
            </w:pPr>
            <w:r>
              <w:rPr>
                <w:color w:val="000000"/>
                <w:sz w:val="19"/>
                <w:szCs w:val="19"/>
              </w:rPr>
              <w:t xml:space="preserve">LPV-MPC </w:t>
            </w:r>
            <w:r>
              <w:rPr>
                <w:color w:val="000000"/>
                <w:sz w:val="19"/>
                <w:szCs w:val="19"/>
              </w:rPr>
              <w:t>仿射项、坡度双重计入、约束层级与可行性不清</w:t>
            </w:r>
          </w:p>
        </w:tc>
        <w:tc>
          <w:tcPr>
            <w:tcW w:w="11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0DB708A2" w14:textId="77777777" w:rsidR="008C5520" w:rsidRDefault="00BE5E16">
            <w:pPr>
              <w:spacing w:line="290" w:lineRule="auto"/>
              <w:rPr>
                <w:rFonts w:hint="eastAsia"/>
              </w:rPr>
            </w:pPr>
            <w:r>
              <w:rPr>
                <w:color w:val="000000"/>
                <w:sz w:val="19"/>
                <w:szCs w:val="19"/>
              </w:rPr>
              <w:t>R1-4</w:t>
            </w:r>
            <w:r>
              <w:rPr>
                <w:color w:val="000000"/>
                <w:sz w:val="19"/>
                <w:szCs w:val="19"/>
              </w:rPr>
              <w:t>；</w:t>
            </w:r>
            <w:r>
              <w:rPr>
                <w:color w:val="000000"/>
                <w:sz w:val="19"/>
                <w:szCs w:val="19"/>
              </w:rPr>
              <w:t>R2-21—24</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1D2F44F" w14:textId="77777777" w:rsidR="008C5520" w:rsidRDefault="00BE5E16">
            <w:pPr>
              <w:spacing w:line="290" w:lineRule="auto"/>
              <w:rPr>
                <w:rFonts w:hint="eastAsia"/>
              </w:rPr>
            </w:pPr>
            <w:r>
              <w:rPr>
                <w:color w:val="000000"/>
                <w:sz w:val="19"/>
                <w:szCs w:val="19"/>
              </w:rPr>
              <w:t>一致推导、残差核验、约束统计、稳定性措辞收缩</w:t>
            </w:r>
          </w:p>
        </w:tc>
      </w:tr>
      <w:tr w:rsidR="008C5520" w14:paraId="5A6A6763"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82F8A97" w14:textId="77777777" w:rsidR="008C5520" w:rsidRDefault="00BE5E16">
            <w:pPr>
              <w:spacing w:line="290" w:lineRule="auto"/>
              <w:rPr>
                <w:rFonts w:hint="eastAsia"/>
              </w:rPr>
            </w:pPr>
            <w:r>
              <w:rPr>
                <w:color w:val="000000"/>
                <w:sz w:val="19"/>
                <w:szCs w:val="19"/>
              </w:rPr>
              <w:t>P0</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72E477E7" w14:textId="77777777" w:rsidR="008C5520" w:rsidRDefault="00BE5E16">
            <w:pPr>
              <w:spacing w:line="290" w:lineRule="auto"/>
              <w:rPr>
                <w:rFonts w:hint="eastAsia"/>
              </w:rPr>
            </w:pPr>
            <w:r>
              <w:rPr>
                <w:color w:val="000000"/>
                <w:sz w:val="19"/>
                <w:szCs w:val="19"/>
              </w:rPr>
              <w:t>基线异常、指标定义、统计和离群值解释不足</w:t>
            </w:r>
          </w:p>
        </w:tc>
        <w:tc>
          <w:tcPr>
            <w:tcW w:w="11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41D8C9D6" w14:textId="77777777" w:rsidR="008C5520" w:rsidRDefault="00BE5E16">
            <w:pPr>
              <w:spacing w:line="290" w:lineRule="auto"/>
              <w:rPr>
                <w:rFonts w:hint="eastAsia"/>
              </w:rPr>
            </w:pPr>
            <w:r>
              <w:rPr>
                <w:color w:val="000000"/>
                <w:sz w:val="19"/>
                <w:szCs w:val="19"/>
              </w:rPr>
              <w:t>R2-27—32</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34C3E664" w14:textId="77777777" w:rsidR="008C5520" w:rsidRDefault="00BE5E16">
            <w:pPr>
              <w:spacing w:line="290" w:lineRule="auto"/>
              <w:rPr>
                <w:rFonts w:hint="eastAsia"/>
              </w:rPr>
            </w:pPr>
            <w:r>
              <w:rPr>
                <w:color w:val="000000"/>
                <w:sz w:val="19"/>
                <w:szCs w:val="19"/>
              </w:rPr>
              <w:t>路线级诊断、</w:t>
            </w:r>
            <w:r>
              <w:rPr>
                <w:color w:val="000000"/>
                <w:sz w:val="19"/>
                <w:szCs w:val="19"/>
              </w:rPr>
              <w:t xml:space="preserve">J_Δu </w:t>
            </w:r>
            <w:r>
              <w:rPr>
                <w:color w:val="000000"/>
                <w:sz w:val="19"/>
                <w:szCs w:val="19"/>
              </w:rPr>
              <w:t>公式、稳健统计、统一结论措辞</w:t>
            </w:r>
          </w:p>
        </w:tc>
      </w:tr>
      <w:tr w:rsidR="008C5520" w14:paraId="5CD461A9"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F0D31BB" w14:textId="77777777" w:rsidR="008C5520" w:rsidRDefault="00BE5E16">
            <w:pPr>
              <w:spacing w:line="290" w:lineRule="auto"/>
              <w:rPr>
                <w:rFonts w:hint="eastAsia"/>
              </w:rPr>
            </w:pPr>
            <w:r>
              <w:rPr>
                <w:color w:val="000000"/>
                <w:sz w:val="19"/>
                <w:szCs w:val="19"/>
              </w:rPr>
              <w:t>P1</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839BAEE" w14:textId="77777777" w:rsidR="008C5520" w:rsidRDefault="00BE5E16">
            <w:pPr>
              <w:spacing w:line="290" w:lineRule="auto"/>
              <w:rPr>
                <w:rFonts w:hint="eastAsia"/>
              </w:rPr>
            </w:pPr>
            <w:r>
              <w:rPr>
                <w:color w:val="000000"/>
                <w:sz w:val="19"/>
                <w:szCs w:val="19"/>
              </w:rPr>
              <w:t>实时性只测核心估计器，未覆盖完整闭环</w:t>
            </w:r>
          </w:p>
        </w:tc>
        <w:tc>
          <w:tcPr>
            <w:tcW w:w="11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9C54128" w14:textId="77777777" w:rsidR="008C5520" w:rsidRDefault="00BE5E16">
            <w:pPr>
              <w:spacing w:line="290" w:lineRule="auto"/>
              <w:rPr>
                <w:rFonts w:hint="eastAsia"/>
              </w:rPr>
            </w:pPr>
            <w:r>
              <w:rPr>
                <w:color w:val="000000"/>
                <w:sz w:val="19"/>
                <w:szCs w:val="19"/>
              </w:rPr>
              <w:t>R2-33</w:t>
            </w:r>
          </w:p>
        </w:tc>
        <w:tc>
          <w:tcPr>
            <w:tcW w:w="1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F618FBE" w14:textId="77777777" w:rsidR="008C5520" w:rsidRDefault="00BE5E16">
            <w:pPr>
              <w:spacing w:line="290" w:lineRule="auto"/>
              <w:rPr>
                <w:rFonts w:hint="eastAsia"/>
              </w:rPr>
            </w:pPr>
            <w:r>
              <w:rPr>
                <w:color w:val="000000"/>
                <w:sz w:val="19"/>
                <w:szCs w:val="19"/>
              </w:rPr>
              <w:t>端到端均值</w:t>
            </w:r>
            <w:r>
              <w:rPr>
                <w:color w:val="000000"/>
                <w:sz w:val="19"/>
                <w:szCs w:val="19"/>
              </w:rPr>
              <w:t>/p95/p99/</w:t>
            </w:r>
            <w:r>
              <w:rPr>
                <w:color w:val="000000"/>
                <w:sz w:val="19"/>
                <w:szCs w:val="19"/>
              </w:rPr>
              <w:t>最大值</w:t>
            </w:r>
            <w:r>
              <w:rPr>
                <w:color w:val="000000"/>
                <w:sz w:val="19"/>
                <w:szCs w:val="19"/>
              </w:rPr>
              <w:t>/</w:t>
            </w:r>
            <w:r>
              <w:rPr>
                <w:color w:val="000000"/>
                <w:sz w:val="19"/>
                <w:szCs w:val="19"/>
              </w:rPr>
              <w:t>超期率</w:t>
            </w:r>
          </w:p>
        </w:tc>
      </w:tr>
      <w:tr w:rsidR="008C5520" w14:paraId="43D993A1" w14:textId="77777777">
        <w:tblPrEx>
          <w:tblCellMar>
            <w:top w:w="0" w:type="dxa"/>
            <w:bottom w:w="0" w:type="dxa"/>
          </w:tblCellMar>
        </w:tblPrEx>
        <w:tc>
          <w:tcPr>
            <w:tcW w:w="5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AB37120" w14:textId="77777777" w:rsidR="008C5520" w:rsidRDefault="00BE5E16">
            <w:pPr>
              <w:spacing w:line="290" w:lineRule="auto"/>
              <w:rPr>
                <w:rFonts w:hint="eastAsia"/>
              </w:rPr>
            </w:pPr>
            <w:r>
              <w:rPr>
                <w:color w:val="000000"/>
                <w:sz w:val="19"/>
                <w:szCs w:val="19"/>
              </w:rPr>
              <w:t>P1</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3107C592" w14:textId="77777777" w:rsidR="008C5520" w:rsidRDefault="00BE5E16">
            <w:pPr>
              <w:spacing w:line="290" w:lineRule="auto"/>
              <w:rPr>
                <w:rFonts w:hint="eastAsia"/>
              </w:rPr>
            </w:pPr>
            <w:r>
              <w:rPr>
                <w:color w:val="000000"/>
                <w:sz w:val="19"/>
                <w:szCs w:val="19"/>
              </w:rPr>
              <w:t>创新性与文献定位不够清楚</w:t>
            </w:r>
          </w:p>
        </w:tc>
        <w:tc>
          <w:tcPr>
            <w:tcW w:w="11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2334FED" w14:textId="77777777" w:rsidR="008C5520" w:rsidRDefault="00BE5E16">
            <w:pPr>
              <w:spacing w:line="290" w:lineRule="auto"/>
              <w:rPr>
                <w:rFonts w:hint="eastAsia"/>
              </w:rPr>
            </w:pPr>
            <w:r>
              <w:rPr>
                <w:color w:val="000000"/>
                <w:sz w:val="19"/>
                <w:szCs w:val="19"/>
              </w:rPr>
              <w:t>R1-6</w:t>
            </w:r>
            <w:r>
              <w:rPr>
                <w:color w:val="000000"/>
                <w:sz w:val="19"/>
                <w:szCs w:val="19"/>
              </w:rPr>
              <w:t>；</w:t>
            </w:r>
            <w:r>
              <w:rPr>
                <w:color w:val="000000"/>
                <w:sz w:val="19"/>
                <w:szCs w:val="19"/>
              </w:rPr>
              <w:t>R2-2—4</w:t>
            </w:r>
            <w:r>
              <w:rPr>
                <w:color w:val="000000"/>
                <w:sz w:val="19"/>
                <w:szCs w:val="19"/>
              </w:rPr>
              <w:t>、</w:t>
            </w:r>
            <w:r>
              <w:rPr>
                <w:color w:val="000000"/>
                <w:sz w:val="19"/>
                <w:szCs w:val="19"/>
              </w:rPr>
              <w:t>11</w:t>
            </w:r>
          </w:p>
        </w:tc>
        <w:tc>
          <w:tcPr>
            <w:tcW w:w="1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58E016D" w14:textId="77777777" w:rsidR="008C5520" w:rsidRDefault="00BE5E16">
            <w:pPr>
              <w:spacing w:line="290" w:lineRule="auto"/>
              <w:rPr>
                <w:rFonts w:hint="eastAsia"/>
              </w:rPr>
            </w:pPr>
            <w:r>
              <w:rPr>
                <w:color w:val="000000"/>
                <w:sz w:val="19"/>
                <w:szCs w:val="19"/>
              </w:rPr>
              <w:t>创新对照表、方法命名修订、相关文献核验</w:t>
            </w:r>
          </w:p>
        </w:tc>
      </w:tr>
    </w:tbl>
    <w:p w14:paraId="0D0169F3" w14:textId="77777777" w:rsidR="008C5520" w:rsidRDefault="00BE5E16">
      <w:pPr>
        <w:spacing w:after="110"/>
        <w:ind w:firstLine="420"/>
        <w:jc w:val="both"/>
        <w:rPr>
          <w:rFonts w:hint="eastAsia"/>
        </w:rPr>
      </w:pPr>
      <w:r>
        <w:rPr>
          <w:i/>
          <w:iCs/>
          <w:color w:val="666666"/>
        </w:rPr>
        <w:t>优先级为内部工作判断，不是编辑或审稿人给出的等级。</w:t>
      </w:r>
      <w:r>
        <w:rPr>
          <w:i/>
          <w:iCs/>
          <w:color w:val="666666"/>
        </w:rPr>
        <w:t xml:space="preserve">P0 </w:t>
      </w:r>
      <w:r>
        <w:rPr>
          <w:i/>
          <w:iCs/>
          <w:color w:val="666666"/>
        </w:rPr>
        <w:t>表示若不解决，很可能触发</w:t>
      </w:r>
      <w:r>
        <w:rPr>
          <w:i/>
          <w:iCs/>
          <w:color w:val="666666"/>
        </w:rPr>
        <w:t>“</w:t>
      </w:r>
      <w:r>
        <w:rPr>
          <w:i/>
          <w:iCs/>
          <w:color w:val="666666"/>
        </w:rPr>
        <w:t>先前关切未被解决</w:t>
      </w:r>
      <w:r>
        <w:rPr>
          <w:i/>
          <w:iCs/>
          <w:color w:val="666666"/>
        </w:rPr>
        <w:t>”</w:t>
      </w:r>
      <w:r>
        <w:rPr>
          <w:i/>
          <w:iCs/>
          <w:color w:val="666666"/>
        </w:rPr>
        <w:t>的一次性重投风险。</w:t>
      </w:r>
    </w:p>
    <w:p w14:paraId="0A4A3652" w14:textId="77777777" w:rsidR="008C5520" w:rsidRDefault="00BE5E16">
      <w:pPr>
        <w:pStyle w:val="1"/>
        <w:pageBreakBefore/>
        <w:spacing w:before="220" w:after="120"/>
        <w:rPr>
          <w:rFonts w:hint="eastAsia"/>
        </w:rPr>
      </w:pPr>
      <w:r>
        <w:lastRenderedPageBreak/>
        <w:t>二、编辑决定与重新投稿硬性要求</w:t>
      </w:r>
    </w:p>
    <w:p w14:paraId="5C128D40" w14:textId="77777777" w:rsidR="008C5520" w:rsidRDefault="00BE5E16">
      <w:pPr>
        <w:pStyle w:val="2"/>
        <w:spacing w:before="160" w:after="120"/>
        <w:rPr>
          <w:rFonts w:hint="eastAsia"/>
        </w:rPr>
      </w:pPr>
      <w:r>
        <w:t xml:space="preserve">2.1 </w:t>
      </w:r>
      <w:r>
        <w:t>编辑决定的严谨传达</w:t>
      </w:r>
    </w:p>
    <w:p w14:paraId="4EC1C98F" w14:textId="77777777" w:rsidR="008C5520" w:rsidRDefault="00BE5E16">
      <w:pPr>
        <w:pStyle w:val="a4"/>
        <w:numPr>
          <w:ilvl w:val="0"/>
          <w:numId w:val="2"/>
        </w:numPr>
        <w:spacing w:after="80" w:line="320" w:lineRule="auto"/>
        <w:ind w:left="520" w:hanging="260"/>
        <w:rPr>
          <w:rFonts w:hint="eastAsia"/>
        </w:rPr>
      </w:pPr>
      <w:r>
        <w:rPr>
          <w:color w:val="000000"/>
        </w:rPr>
        <w:t>稿件已经过同行评审，但以当前形式不被建议发表。</w:t>
      </w:r>
    </w:p>
    <w:p w14:paraId="7B5E4FB5" w14:textId="77777777" w:rsidR="008C5520" w:rsidRDefault="00BE5E16">
      <w:pPr>
        <w:pStyle w:val="a4"/>
        <w:numPr>
          <w:ilvl w:val="0"/>
          <w:numId w:val="2"/>
        </w:numPr>
        <w:spacing w:after="80" w:line="320" w:lineRule="auto"/>
        <w:ind w:left="520" w:hanging="260"/>
        <w:rPr>
          <w:rFonts w:hint="eastAsia"/>
        </w:rPr>
      </w:pPr>
      <w:r>
        <w:rPr>
          <w:color w:val="000000"/>
        </w:rPr>
        <w:t xml:space="preserve">IEEE Access </w:t>
      </w:r>
      <w:r>
        <w:rPr>
          <w:color w:val="000000"/>
        </w:rPr>
        <w:t>采用二元审稿流程，因此即使审稿人认为只需小幅修改，也会作拒稿处理。</w:t>
      </w:r>
    </w:p>
    <w:p w14:paraId="6C24CE02" w14:textId="77777777" w:rsidR="008C5520" w:rsidRDefault="00BE5E16">
      <w:pPr>
        <w:pStyle w:val="a4"/>
        <w:numPr>
          <w:ilvl w:val="0"/>
          <w:numId w:val="2"/>
        </w:numPr>
        <w:spacing w:after="80" w:line="320" w:lineRule="auto"/>
        <w:ind w:left="520" w:hanging="260"/>
        <w:rPr>
          <w:rFonts w:hint="eastAsia"/>
        </w:rPr>
      </w:pPr>
      <w:r>
        <w:rPr>
          <w:color w:val="000000"/>
        </w:rPr>
        <w:t>编辑强烈鼓励作者逐项解决审稿意见后重新投稿。</w:t>
      </w:r>
    </w:p>
    <w:p w14:paraId="5B001B49" w14:textId="77777777" w:rsidR="008C5520" w:rsidRDefault="00BE5E16">
      <w:pPr>
        <w:pStyle w:val="a4"/>
        <w:numPr>
          <w:ilvl w:val="0"/>
          <w:numId w:val="2"/>
        </w:numPr>
        <w:spacing w:after="80" w:line="320" w:lineRule="auto"/>
        <w:ind w:left="520" w:hanging="260"/>
        <w:rPr>
          <w:rFonts w:hint="eastAsia"/>
        </w:rPr>
      </w:pPr>
      <w:r>
        <w:rPr>
          <w:color w:val="9C0006"/>
        </w:rPr>
        <w:t>只有一次重新投稿机会。若未解决全部既有意见，或副编辑仍存在实质性技术关切，将拒稿且不再允许重投。</w:t>
      </w:r>
    </w:p>
    <w:p w14:paraId="2E23A366" w14:textId="77777777" w:rsidR="008C5520" w:rsidRDefault="00BE5E16">
      <w:pPr>
        <w:pStyle w:val="a4"/>
        <w:numPr>
          <w:ilvl w:val="0"/>
          <w:numId w:val="2"/>
        </w:numPr>
        <w:spacing w:after="80" w:line="320" w:lineRule="auto"/>
        <w:ind w:left="520" w:hanging="260"/>
        <w:rPr>
          <w:rFonts w:hint="eastAsia"/>
        </w:rPr>
      </w:pPr>
      <w:r>
        <w:rPr>
          <w:color w:val="000000"/>
        </w:rPr>
        <w:t>重新投稿需通过</w:t>
      </w:r>
      <w:r>
        <w:rPr>
          <w:color w:val="000000"/>
        </w:rPr>
        <w:t xml:space="preserve"> IEEE Author Portal</w:t>
      </w:r>
      <w:r>
        <w:rPr>
          <w:color w:val="000000"/>
        </w:rPr>
        <w:t>，并选择</w:t>
      </w:r>
      <w:r>
        <w:rPr>
          <w:color w:val="000000"/>
        </w:rPr>
        <w:t>“Start Resubmission”</w:t>
      </w:r>
      <w:r>
        <w:rPr>
          <w:color w:val="000000"/>
        </w:rPr>
        <w:t>。</w:t>
      </w:r>
    </w:p>
    <w:p w14:paraId="28405EC4" w14:textId="77777777" w:rsidR="008C5520" w:rsidRDefault="00BE5E16">
      <w:pPr>
        <w:pStyle w:val="a4"/>
        <w:numPr>
          <w:ilvl w:val="0"/>
          <w:numId w:val="2"/>
        </w:numPr>
        <w:spacing w:after="80" w:line="320" w:lineRule="auto"/>
        <w:ind w:left="520" w:hanging="260"/>
        <w:rPr>
          <w:rFonts w:hint="eastAsia"/>
        </w:rPr>
      </w:pPr>
      <w:r>
        <w:rPr>
          <w:color w:val="000000"/>
        </w:rPr>
        <w:t>邮件未规定具体截止日期。</w:t>
      </w:r>
    </w:p>
    <w:p w14:paraId="48804F75" w14:textId="77777777" w:rsidR="008C5520" w:rsidRDefault="00BE5E16">
      <w:pPr>
        <w:pStyle w:val="2"/>
        <w:spacing w:before="160" w:after="120"/>
        <w:rPr>
          <w:rFonts w:hint="eastAsia"/>
        </w:rPr>
      </w:pPr>
      <w:r>
        <w:t xml:space="preserve">2.2 </w:t>
      </w:r>
      <w:r>
        <w:t>必须提交的三类文件</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142"/>
        <w:gridCol w:w="2337"/>
        <w:gridCol w:w="5257"/>
      </w:tblGrid>
      <w:tr w:rsidR="008C5520" w14:paraId="039336CD" w14:textId="77777777">
        <w:tblPrEx>
          <w:tblCellMar>
            <w:top w:w="0" w:type="dxa"/>
            <w:bottom w:w="0" w:type="dxa"/>
          </w:tblCellMar>
        </w:tblPrEx>
        <w:trPr>
          <w:tblHeader/>
        </w:trPr>
        <w:tc>
          <w:tcPr>
            <w:tcW w:w="11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7D751590" w14:textId="77777777" w:rsidR="008C5520" w:rsidRDefault="00BE5E16">
            <w:pPr>
              <w:spacing w:line="290" w:lineRule="auto"/>
              <w:jc w:val="center"/>
              <w:rPr>
                <w:rFonts w:hint="eastAsia"/>
              </w:rPr>
            </w:pPr>
            <w:r>
              <w:rPr>
                <w:b/>
                <w:bCs/>
                <w:color w:val="FFFFFF"/>
                <w:sz w:val="19"/>
                <w:szCs w:val="19"/>
              </w:rPr>
              <w:t>文件</w:t>
            </w:r>
          </w:p>
        </w:tc>
        <w:tc>
          <w:tcPr>
            <w:tcW w:w="12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0FC94242" w14:textId="77777777" w:rsidR="008C5520" w:rsidRDefault="00BE5E16">
            <w:pPr>
              <w:spacing w:line="290" w:lineRule="auto"/>
              <w:jc w:val="center"/>
              <w:rPr>
                <w:rFonts w:hint="eastAsia"/>
              </w:rPr>
            </w:pPr>
            <w:r>
              <w:rPr>
                <w:b/>
                <w:bCs/>
                <w:color w:val="FFFFFF"/>
                <w:sz w:val="19"/>
                <w:szCs w:val="19"/>
              </w:rPr>
              <w:t>系统文件类型</w:t>
            </w:r>
          </w:p>
        </w:tc>
        <w:tc>
          <w:tcPr>
            <w:tcW w:w="27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36FF84B7" w14:textId="77777777" w:rsidR="008C5520" w:rsidRDefault="00BE5E16">
            <w:pPr>
              <w:spacing w:line="290" w:lineRule="auto"/>
              <w:jc w:val="center"/>
              <w:rPr>
                <w:rFonts w:hint="eastAsia"/>
              </w:rPr>
            </w:pPr>
            <w:r>
              <w:rPr>
                <w:b/>
                <w:bCs/>
                <w:color w:val="FFFFFF"/>
                <w:sz w:val="19"/>
                <w:szCs w:val="19"/>
              </w:rPr>
              <w:t>硬性内容</w:t>
            </w:r>
          </w:p>
        </w:tc>
      </w:tr>
      <w:tr w:rsidR="008C5520" w14:paraId="33B65F4D" w14:textId="77777777">
        <w:tblPrEx>
          <w:tblCellMar>
            <w:top w:w="0" w:type="dxa"/>
            <w:bottom w:w="0" w:type="dxa"/>
          </w:tblCellMar>
        </w:tblPrEx>
        <w:tc>
          <w:tcPr>
            <w:tcW w:w="11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1AA138A" w14:textId="77777777" w:rsidR="008C5520" w:rsidRDefault="00BE5E16">
            <w:pPr>
              <w:spacing w:line="290" w:lineRule="auto"/>
              <w:rPr>
                <w:rFonts w:hint="eastAsia"/>
              </w:rPr>
            </w:pPr>
            <w:r>
              <w:rPr>
                <w:color w:val="000000"/>
                <w:sz w:val="19"/>
                <w:szCs w:val="19"/>
              </w:rPr>
              <w:t>逐条回复文件</w:t>
            </w:r>
          </w:p>
        </w:tc>
        <w:tc>
          <w:tcPr>
            <w:tcW w:w="12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4BC7066" w14:textId="77777777" w:rsidR="008C5520" w:rsidRDefault="00BE5E16">
            <w:pPr>
              <w:spacing w:line="290" w:lineRule="auto"/>
              <w:rPr>
                <w:rFonts w:hint="eastAsia"/>
              </w:rPr>
            </w:pPr>
            <w:r>
              <w:rPr>
                <w:color w:val="000000"/>
                <w:sz w:val="19"/>
                <w:szCs w:val="19"/>
              </w:rPr>
              <w:t>Author’s Response Files</w:t>
            </w:r>
          </w:p>
        </w:tc>
        <w:tc>
          <w:tcPr>
            <w:tcW w:w="2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C30B5AC" w14:textId="77777777" w:rsidR="008C5520" w:rsidRDefault="00BE5E16">
            <w:pPr>
              <w:spacing w:line="290" w:lineRule="auto"/>
              <w:rPr>
                <w:rFonts w:hint="eastAsia"/>
              </w:rPr>
            </w:pPr>
            <w:r>
              <w:rPr>
                <w:color w:val="000000"/>
                <w:sz w:val="19"/>
                <w:szCs w:val="19"/>
              </w:rPr>
              <w:t>每条意见必须包含：</w:t>
            </w:r>
            <w:r>
              <w:rPr>
                <w:color w:val="000000"/>
                <w:sz w:val="19"/>
                <w:szCs w:val="19"/>
              </w:rPr>
              <w:t>①</w:t>
            </w:r>
            <w:r>
              <w:rPr>
                <w:color w:val="000000"/>
                <w:sz w:val="19"/>
                <w:szCs w:val="19"/>
              </w:rPr>
              <w:t>审稿人的关切；</w:t>
            </w:r>
            <w:r>
              <w:rPr>
                <w:color w:val="000000"/>
                <w:sz w:val="19"/>
                <w:szCs w:val="19"/>
              </w:rPr>
              <w:t>②</w:t>
            </w:r>
            <w:r>
              <w:rPr>
                <w:color w:val="000000"/>
                <w:sz w:val="19"/>
                <w:szCs w:val="19"/>
              </w:rPr>
              <w:t>作者回复；</w:t>
            </w:r>
            <w:r>
              <w:rPr>
                <w:color w:val="000000"/>
                <w:sz w:val="19"/>
                <w:szCs w:val="19"/>
              </w:rPr>
              <w:t>③</w:t>
            </w:r>
            <w:r>
              <w:rPr>
                <w:color w:val="000000"/>
                <w:sz w:val="19"/>
                <w:szCs w:val="19"/>
              </w:rPr>
              <w:t>作者采取的修改行动</w:t>
            </w:r>
            <w:r>
              <w:rPr>
                <w:color w:val="000000"/>
                <w:sz w:val="19"/>
                <w:szCs w:val="19"/>
              </w:rPr>
              <w:t>/</w:t>
            </w:r>
            <w:r>
              <w:rPr>
                <w:color w:val="000000"/>
                <w:sz w:val="19"/>
                <w:szCs w:val="19"/>
              </w:rPr>
              <w:t>补救措施。</w:t>
            </w:r>
          </w:p>
        </w:tc>
      </w:tr>
      <w:tr w:rsidR="008C5520" w14:paraId="2251313D" w14:textId="77777777">
        <w:tblPrEx>
          <w:tblCellMar>
            <w:top w:w="0" w:type="dxa"/>
            <w:bottom w:w="0" w:type="dxa"/>
          </w:tblCellMar>
        </w:tblPrEx>
        <w:tc>
          <w:tcPr>
            <w:tcW w:w="11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7672E250" w14:textId="77777777" w:rsidR="008C5520" w:rsidRDefault="00BE5E16">
            <w:pPr>
              <w:spacing w:line="290" w:lineRule="auto"/>
              <w:rPr>
                <w:rFonts w:hint="eastAsia"/>
              </w:rPr>
            </w:pPr>
            <w:r>
              <w:rPr>
                <w:color w:val="000000"/>
                <w:sz w:val="19"/>
                <w:szCs w:val="19"/>
              </w:rPr>
              <w:t>黄色高亮稿</w:t>
            </w:r>
            <w:r>
              <w:rPr>
                <w:color w:val="000000"/>
                <w:sz w:val="19"/>
                <w:szCs w:val="19"/>
              </w:rPr>
              <w:t xml:space="preserve"> PDF</w:t>
            </w:r>
          </w:p>
        </w:tc>
        <w:tc>
          <w:tcPr>
            <w:tcW w:w="12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306112FF" w14:textId="77777777" w:rsidR="008C5520" w:rsidRDefault="00BE5E16">
            <w:pPr>
              <w:spacing w:line="290" w:lineRule="auto"/>
              <w:rPr>
                <w:rFonts w:hint="eastAsia"/>
              </w:rPr>
            </w:pPr>
            <w:r>
              <w:rPr>
                <w:color w:val="000000"/>
                <w:sz w:val="19"/>
                <w:szCs w:val="19"/>
              </w:rPr>
              <w:t>Highlighted PDF</w:t>
            </w:r>
          </w:p>
        </w:tc>
        <w:tc>
          <w:tcPr>
            <w:tcW w:w="27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72284E6" w14:textId="77777777" w:rsidR="008C5520" w:rsidRDefault="00BE5E16">
            <w:pPr>
              <w:spacing w:line="290" w:lineRule="auto"/>
              <w:rPr>
                <w:rFonts w:hint="eastAsia"/>
              </w:rPr>
            </w:pPr>
            <w:r>
              <w:rPr>
                <w:color w:val="000000"/>
                <w:sz w:val="19"/>
                <w:szCs w:val="19"/>
              </w:rPr>
              <w:t>每一处修改都必须高亮，包括语法修改；邮件建议使用黄色。</w:t>
            </w:r>
          </w:p>
        </w:tc>
      </w:tr>
      <w:tr w:rsidR="008C5520" w14:paraId="37B74AE5" w14:textId="77777777">
        <w:tblPrEx>
          <w:tblCellMar>
            <w:top w:w="0" w:type="dxa"/>
            <w:bottom w:w="0" w:type="dxa"/>
          </w:tblCellMar>
        </w:tblPrEx>
        <w:tc>
          <w:tcPr>
            <w:tcW w:w="11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FDAC827" w14:textId="77777777" w:rsidR="008C5520" w:rsidRDefault="00BE5E16">
            <w:pPr>
              <w:spacing w:line="290" w:lineRule="auto"/>
              <w:rPr>
                <w:rFonts w:hint="eastAsia"/>
              </w:rPr>
            </w:pPr>
            <w:r>
              <w:rPr>
                <w:color w:val="000000"/>
                <w:sz w:val="19"/>
                <w:szCs w:val="19"/>
              </w:rPr>
              <w:t>干净终稿</w:t>
            </w:r>
          </w:p>
        </w:tc>
        <w:tc>
          <w:tcPr>
            <w:tcW w:w="12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273D5597" w14:textId="77777777" w:rsidR="008C5520" w:rsidRDefault="00BE5E16">
            <w:pPr>
              <w:spacing w:line="290" w:lineRule="auto"/>
              <w:rPr>
                <w:rFonts w:hint="eastAsia"/>
              </w:rPr>
            </w:pPr>
            <w:r>
              <w:rPr>
                <w:color w:val="000000"/>
                <w:sz w:val="19"/>
                <w:szCs w:val="19"/>
              </w:rPr>
              <w:t>Main Manuscript</w:t>
            </w:r>
          </w:p>
        </w:tc>
        <w:tc>
          <w:tcPr>
            <w:tcW w:w="2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7093807" w14:textId="77777777" w:rsidR="008C5520" w:rsidRDefault="00BE5E16">
            <w:pPr>
              <w:spacing w:line="290" w:lineRule="auto"/>
              <w:rPr>
                <w:rFonts w:hint="eastAsia"/>
              </w:rPr>
            </w:pPr>
            <w:r>
              <w:rPr>
                <w:color w:val="000000"/>
                <w:sz w:val="19"/>
                <w:szCs w:val="19"/>
              </w:rPr>
              <w:t>无高亮版本；</w:t>
            </w:r>
            <w:r>
              <w:rPr>
                <w:color w:val="000000"/>
                <w:sz w:val="19"/>
                <w:szCs w:val="19"/>
              </w:rPr>
              <w:t xml:space="preserve">Word </w:t>
            </w:r>
            <w:r>
              <w:rPr>
                <w:color w:val="000000"/>
                <w:sz w:val="19"/>
                <w:szCs w:val="19"/>
              </w:rPr>
              <w:t>或</w:t>
            </w:r>
            <w:r>
              <w:rPr>
                <w:color w:val="000000"/>
                <w:sz w:val="19"/>
                <w:szCs w:val="19"/>
              </w:rPr>
              <w:t xml:space="preserve"> LaTeX </w:t>
            </w:r>
            <w:r>
              <w:rPr>
                <w:color w:val="000000"/>
                <w:sz w:val="19"/>
                <w:szCs w:val="19"/>
              </w:rPr>
              <w:t>源文件与</w:t>
            </w:r>
            <w:r>
              <w:rPr>
                <w:color w:val="000000"/>
                <w:sz w:val="19"/>
                <w:szCs w:val="19"/>
              </w:rPr>
              <w:t xml:space="preserve"> PDF </w:t>
            </w:r>
            <w:r>
              <w:rPr>
                <w:color w:val="000000"/>
                <w:sz w:val="19"/>
                <w:szCs w:val="19"/>
              </w:rPr>
              <w:t>均作为</w:t>
            </w:r>
            <w:r>
              <w:rPr>
                <w:color w:val="000000"/>
                <w:sz w:val="19"/>
                <w:szCs w:val="19"/>
              </w:rPr>
              <w:t xml:space="preserve"> Main Manuscript </w:t>
            </w:r>
            <w:r>
              <w:rPr>
                <w:color w:val="000000"/>
                <w:sz w:val="19"/>
                <w:szCs w:val="19"/>
              </w:rPr>
              <w:t>上传。</w:t>
            </w:r>
          </w:p>
        </w:tc>
      </w:tr>
    </w:tbl>
    <w:p w14:paraId="0DC111D4" w14:textId="77777777" w:rsidR="008C5520" w:rsidRDefault="00BE5E16">
      <w:pPr>
        <w:pStyle w:val="2"/>
        <w:spacing w:before="160" w:after="120"/>
        <w:rPr>
          <w:rFonts w:hint="eastAsia"/>
        </w:rPr>
      </w:pPr>
      <w:r>
        <w:t xml:space="preserve">2.3 </w:t>
      </w:r>
      <w:r>
        <w:t>参考文献建议的处理原则</w:t>
      </w:r>
    </w:p>
    <w:p w14:paraId="42D5B54D" w14:textId="77777777" w:rsidR="008C5520" w:rsidRDefault="00BE5E16">
      <w:pPr>
        <w:spacing w:after="110"/>
        <w:ind w:firstLine="420"/>
        <w:jc w:val="both"/>
        <w:rPr>
          <w:rFonts w:hint="eastAsia"/>
        </w:rPr>
      </w:pPr>
      <w:r>
        <w:rPr>
          <w:color w:val="000000"/>
        </w:rPr>
        <w:t>审稿人建议的参考文献不是强制引用。只有当文献与稿件相关并确实增强论文时才应加入；编辑决定不会取决于是否引用建议文献。若收到过量或不恰当的自引要求，应向</w:t>
      </w:r>
      <w:r>
        <w:rPr>
          <w:color w:val="000000"/>
        </w:rPr>
        <w:t xml:space="preserve"> IEEE Access </w:t>
      </w:r>
      <w:r>
        <w:rPr>
          <w:color w:val="000000"/>
        </w:rPr>
        <w:t>主编邮箱</w:t>
      </w:r>
      <w:r>
        <w:rPr>
          <w:color w:val="000000"/>
        </w:rPr>
        <w:t xml:space="preserve"> ieeeaccessEIC@ieee.org </w:t>
      </w:r>
      <w:r>
        <w:rPr>
          <w:color w:val="000000"/>
        </w:rPr>
        <w:t>报告。</w:t>
      </w:r>
    </w:p>
    <w:p w14:paraId="1B992929" w14:textId="77777777" w:rsidR="008C5520" w:rsidRDefault="00BE5E16">
      <w:pPr>
        <w:pStyle w:val="2"/>
        <w:spacing w:before="160" w:after="120"/>
        <w:rPr>
          <w:rFonts w:hint="eastAsia"/>
        </w:rPr>
      </w:pPr>
      <w:r>
        <w:t xml:space="preserve">2.4 </w:t>
      </w:r>
      <w:r>
        <w:t>作者名单变更</w:t>
      </w:r>
    </w:p>
    <w:p w14:paraId="5DCCC9BB" w14:textId="77777777" w:rsidR="008C5520" w:rsidRDefault="00BE5E16">
      <w:pPr>
        <w:spacing w:after="110"/>
        <w:ind w:firstLine="420"/>
        <w:jc w:val="both"/>
        <w:rPr>
          <w:rFonts w:hint="eastAsia"/>
        </w:rPr>
      </w:pPr>
      <w:r>
        <w:rPr>
          <w:color w:val="000000"/>
        </w:rPr>
        <w:t>若作者名单或顺序没有变化，不需要提交作者变更表。若发生变化，必须提交完整的</w:t>
      </w:r>
      <w:r>
        <w:rPr>
          <w:color w:val="000000"/>
        </w:rPr>
        <w:t xml:space="preserve"> Request for Byline Change</w:t>
      </w:r>
      <w:r>
        <w:rPr>
          <w:color w:val="000000"/>
        </w:rPr>
        <w:t>，逐位说明新增、删除或顺序调整的理由和贡献，并在系统重投过程中再次填写同一理由。此类变更被视为少见且例外的请求，需要编辑许可，并须取得所有仍在世作者的同意；新增作者还必须满足</w:t>
      </w:r>
      <w:r>
        <w:rPr>
          <w:color w:val="000000"/>
        </w:rPr>
        <w:t xml:space="preserve"> IEEE </w:t>
      </w:r>
      <w:r>
        <w:rPr>
          <w:color w:val="000000"/>
        </w:rPr>
        <w:t>的作者资格要求。</w:t>
      </w:r>
    </w:p>
    <w:p w14:paraId="146401D9" w14:textId="77777777" w:rsidR="008C5520" w:rsidRDefault="00BE5E16">
      <w:pPr>
        <w:pStyle w:val="1"/>
        <w:pageBreakBefore/>
        <w:spacing w:before="220" w:after="120"/>
        <w:rPr>
          <w:rFonts w:hint="eastAsia"/>
        </w:rPr>
      </w:pPr>
      <w:r>
        <w:lastRenderedPageBreak/>
        <w:t>三、审稿人</w:t>
      </w:r>
      <w:r>
        <w:t xml:space="preserve"> 1</w:t>
      </w:r>
      <w:r>
        <w:t>：完整意见与执行指引</w:t>
      </w:r>
    </w:p>
    <w:p w14:paraId="5BA79F6C" w14:textId="77777777" w:rsidR="008C5520" w:rsidRDefault="00BE5E16">
      <w:pPr>
        <w:spacing w:after="110"/>
        <w:ind w:firstLine="420"/>
        <w:jc w:val="both"/>
        <w:rPr>
          <w:rFonts w:hint="eastAsia"/>
        </w:rPr>
      </w:pPr>
      <w:r>
        <w:rPr>
          <w:color w:val="000000"/>
        </w:rPr>
        <w:t>审稿人</w:t>
      </w:r>
      <w:r>
        <w:rPr>
          <w:color w:val="000000"/>
        </w:rPr>
        <w:t xml:space="preserve"> 1 </w:t>
      </w:r>
      <w:r>
        <w:rPr>
          <w:color w:val="000000"/>
        </w:rPr>
        <w:t>认为论文的贡献方向具有相关性：将时间坡度估计、有界融合和坡度调度</w:t>
      </w:r>
      <w:r>
        <w:rPr>
          <w:color w:val="000000"/>
        </w:rPr>
        <w:t xml:space="preserve"> LPV-MPC </w:t>
      </w:r>
      <w:r>
        <w:rPr>
          <w:color w:val="000000"/>
        </w:rPr>
        <w:t>结合起来。但其技术评价为</w:t>
      </w:r>
      <w:r>
        <w:rPr>
          <w:color w:val="000000"/>
        </w:rPr>
        <w:t>“</w:t>
      </w:r>
      <w:r>
        <w:rPr>
          <w:color w:val="000000"/>
        </w:rPr>
        <w:t>部分可靠</w:t>
      </w:r>
      <w:r>
        <w:rPr>
          <w:color w:val="000000"/>
        </w:rPr>
        <w:t>”</w:t>
      </w:r>
      <w:r>
        <w:rPr>
          <w:color w:val="000000"/>
        </w:rPr>
        <w:t>，并指出模型一致性、验证独立性、融合调参及实时执行需要更强论证。审稿人认为论文总体较完整，但若干细节和假设需要更清楚的理由；参考文献总体适用且较新，但稳定性与调度不确定性覆盖不足。审稿人未标记不恰当参考文献。</w:t>
      </w:r>
    </w:p>
    <w:p w14:paraId="489BD7E9" w14:textId="77777777" w:rsidR="008C5520" w:rsidRDefault="00BE5E16">
      <w:pPr>
        <w:pStyle w:val="3"/>
        <w:spacing w:before="160" w:after="120"/>
        <w:rPr>
          <w:rFonts w:hint="eastAsia"/>
        </w:rPr>
      </w:pPr>
      <w:r>
        <w:t>主要意见</w:t>
      </w:r>
      <w:r>
        <w:t xml:space="preserve"> 1</w:t>
      </w:r>
    </w:p>
    <w:p w14:paraId="1DB6F225"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主要关切在于：训练数据生成、</w:t>
      </w:r>
      <w:r>
        <w:rPr>
          <w:color w:val="000000"/>
        </w:rPr>
        <w:t xml:space="preserve">LPV </w:t>
      </w:r>
      <w:r>
        <w:rPr>
          <w:color w:val="000000"/>
        </w:rPr>
        <w:t>线性化以及闭环评估实质上依赖同一套非线性</w:t>
      </w:r>
      <w:r>
        <w:rPr>
          <w:color w:val="000000"/>
        </w:rPr>
        <w:t xml:space="preserve"> AGV </w:t>
      </w:r>
      <w:r>
        <w:rPr>
          <w:color w:val="000000"/>
        </w:rPr>
        <w:t>模型。因此，必须引入独立的被控对象不确定性、参数失配，或开展硬件在环（</w:t>
      </w:r>
      <w:r>
        <w:rPr>
          <w:color w:val="000000"/>
        </w:rPr>
        <w:t>HIL</w:t>
      </w:r>
      <w:r>
        <w:rPr>
          <w:color w:val="000000"/>
        </w:rPr>
        <w:t>）</w:t>
      </w:r>
      <w:r>
        <w:rPr>
          <w:color w:val="000000"/>
        </w:rPr>
        <w:t>/</w:t>
      </w:r>
      <w:r>
        <w:rPr>
          <w:color w:val="000000"/>
        </w:rPr>
        <w:t>实物实验验证，以证明所报告性能不是由模型完全匹配造成的。</w:t>
      </w:r>
    </w:p>
    <w:p w14:paraId="0E742985"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建立与训练</w:t>
      </w:r>
      <w:r>
        <w:rPr>
          <w:color w:val="000000"/>
        </w:rPr>
        <w:t>/</w:t>
      </w:r>
      <w:r>
        <w:rPr>
          <w:color w:val="000000"/>
        </w:rPr>
        <w:t>模型库生成相独立的验证场景；至少系统扫描质量、转动惯量、轮胎侧偏刚度、摩擦、驱动电机参数、传感器偏置及载荷变化，并报告性能退化、约束违反和求解状态。若无法完成</w:t>
      </w:r>
      <w:r>
        <w:rPr>
          <w:color w:val="000000"/>
        </w:rPr>
        <w:t xml:space="preserve"> HIL/</w:t>
      </w:r>
      <w:r>
        <w:rPr>
          <w:color w:val="000000"/>
        </w:rPr>
        <w:t>实车验证，应把全部结论严格限定为</w:t>
      </w:r>
      <w:r>
        <w:rPr>
          <w:color w:val="000000"/>
        </w:rPr>
        <w:t>“</w:t>
      </w:r>
      <w:r>
        <w:rPr>
          <w:color w:val="000000"/>
        </w:rPr>
        <w:t>名义匹配模型下的仿真结果</w:t>
      </w:r>
      <w:r>
        <w:rPr>
          <w:color w:val="000000"/>
        </w:rPr>
        <w:t>”</w:t>
      </w:r>
      <w:r>
        <w:rPr>
          <w:color w:val="000000"/>
        </w:rPr>
        <w:t>。</w:t>
      </w:r>
    </w:p>
    <w:p w14:paraId="19699003" w14:textId="77777777" w:rsidR="008C5520" w:rsidRDefault="00BE5E16">
      <w:pPr>
        <w:pStyle w:val="3"/>
        <w:spacing w:before="160" w:after="120"/>
        <w:rPr>
          <w:rFonts w:hint="eastAsia"/>
        </w:rPr>
      </w:pPr>
      <w:r>
        <w:t>主要意见</w:t>
      </w:r>
      <w:r>
        <w:t xml:space="preserve"> 2</w:t>
      </w:r>
    </w:p>
    <w:p w14:paraId="01C67B84"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数据集采用的是</w:t>
      </w:r>
      <w:r>
        <w:rPr>
          <w:color w:val="000000"/>
        </w:rPr>
        <w:t>“</w:t>
      </w:r>
      <w:r>
        <w:rPr>
          <w:color w:val="000000"/>
        </w:rPr>
        <w:t>运行实例互斥</w:t>
      </w:r>
      <w:r>
        <w:rPr>
          <w:color w:val="000000"/>
        </w:rPr>
        <w:t>”</w:t>
      </w:r>
      <w:r>
        <w:rPr>
          <w:color w:val="000000"/>
        </w:rPr>
        <w:t>（</w:t>
      </w:r>
      <w:r>
        <w:rPr>
          <w:color w:val="000000"/>
        </w:rPr>
        <w:t>run-disjoint</w:t>
      </w:r>
      <w:r>
        <w:rPr>
          <w:color w:val="000000"/>
        </w:rPr>
        <w:t>）划分，而不是</w:t>
      </w:r>
      <w:r>
        <w:rPr>
          <w:color w:val="000000"/>
        </w:rPr>
        <w:t>“</w:t>
      </w:r>
      <w:r>
        <w:rPr>
          <w:color w:val="000000"/>
        </w:rPr>
        <w:t>路线模板互斥</w:t>
      </w:r>
      <w:r>
        <w:rPr>
          <w:color w:val="000000"/>
        </w:rPr>
        <w:t>”</w:t>
      </w:r>
      <w:r>
        <w:rPr>
          <w:color w:val="000000"/>
        </w:rPr>
        <w:t>（</w:t>
      </w:r>
      <w:r>
        <w:rPr>
          <w:color w:val="000000"/>
        </w:rPr>
        <w:t>route-template-disjoint</w:t>
      </w:r>
      <w:r>
        <w:rPr>
          <w:color w:val="000000"/>
        </w:rPr>
        <w:t>）划分。由于</w:t>
      </w:r>
      <w:r>
        <w:rPr>
          <w:color w:val="000000"/>
        </w:rPr>
        <w:t xml:space="preserve"> 51 </w:t>
      </w:r>
      <w:r>
        <w:rPr>
          <w:color w:val="000000"/>
        </w:rPr>
        <w:t>个路线模板各有</w:t>
      </w:r>
      <w:r>
        <w:rPr>
          <w:color w:val="000000"/>
        </w:rPr>
        <w:t xml:space="preserve"> 2 </w:t>
      </w:r>
      <w:r>
        <w:rPr>
          <w:color w:val="000000"/>
        </w:rPr>
        <w:t>个实现实例，必须证明同一模板的两个实现实例不会分别落入训练集与测试集。</w:t>
      </w:r>
    </w:p>
    <w:p w14:paraId="367D21D0"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优先改为模板级分组划分，再生成训练</w:t>
      </w:r>
      <w:r>
        <w:rPr>
          <w:color w:val="000000"/>
        </w:rPr>
        <w:t>/</w:t>
      </w:r>
      <w:r>
        <w:rPr>
          <w:color w:val="000000"/>
        </w:rPr>
        <w:t>验证</w:t>
      </w:r>
      <w:r>
        <w:rPr>
          <w:color w:val="000000"/>
        </w:rPr>
        <w:t>/</w:t>
      </w:r>
      <w:r>
        <w:rPr>
          <w:color w:val="000000"/>
        </w:rPr>
        <w:t>测试集合；保存模板</w:t>
      </w:r>
      <w:r>
        <w:rPr>
          <w:color w:val="000000"/>
        </w:rPr>
        <w:t xml:space="preserve"> ID </w:t>
      </w:r>
      <w:r>
        <w:rPr>
          <w:color w:val="000000"/>
        </w:rPr>
        <w:t>到运行实例的映射并在论文或补充材料中报告。若原划分本已模板互斥，应提供可复核的模板清单或代码证据。</w:t>
      </w:r>
    </w:p>
    <w:p w14:paraId="7986FE81" w14:textId="77777777" w:rsidR="008C5520" w:rsidRDefault="00BE5E16">
      <w:pPr>
        <w:pStyle w:val="3"/>
        <w:spacing w:before="160" w:after="120"/>
        <w:rPr>
          <w:rFonts w:hint="eastAsia"/>
        </w:rPr>
      </w:pPr>
      <w:r>
        <w:t>主要意见</w:t>
      </w:r>
      <w:r>
        <w:t xml:space="preserve"> 3</w:t>
      </w:r>
    </w:p>
    <w:p w14:paraId="4ADE98D1"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论文的研究动机依赖</w:t>
      </w:r>
      <w:r>
        <w:rPr>
          <w:color w:val="000000"/>
        </w:rPr>
        <w:t xml:space="preserve"> IMU </w:t>
      </w:r>
      <w:r>
        <w:rPr>
          <w:color w:val="000000"/>
        </w:rPr>
        <w:t>偏置、振动、加速度污染和传感器噪声等问题，但仿真中的传感器误差环境刻画得不充分。应报告所采用的精确噪声、偏置、振动和模型失配模型，并对其进行压力测试。</w:t>
      </w:r>
    </w:p>
    <w:p w14:paraId="589970CD"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补充每类传感器的噪声分布、标准差</w:t>
      </w:r>
      <w:r>
        <w:rPr>
          <w:color w:val="000000"/>
        </w:rPr>
        <w:t>/</w:t>
      </w:r>
      <w:r>
        <w:rPr>
          <w:color w:val="000000"/>
        </w:rPr>
        <w:t>谱特性、偏置模型、量化分辨率、采样率、滤波参数和振动</w:t>
      </w:r>
      <w:r>
        <w:rPr>
          <w:color w:val="000000"/>
        </w:rPr>
        <w:t>/</w:t>
      </w:r>
      <w:r>
        <w:rPr>
          <w:color w:val="000000"/>
        </w:rPr>
        <w:t>加速度污染注入方式；采用多档强度和未见组合开展鲁棒性试验。</w:t>
      </w:r>
    </w:p>
    <w:p w14:paraId="11895160" w14:textId="77777777" w:rsidR="008C5520" w:rsidRDefault="00BE5E16">
      <w:pPr>
        <w:pStyle w:val="3"/>
        <w:spacing w:before="160" w:after="120"/>
        <w:rPr>
          <w:rFonts w:hint="eastAsia"/>
        </w:rPr>
      </w:pPr>
      <w:r>
        <w:t>主要意见</w:t>
      </w:r>
      <w:r>
        <w:t xml:space="preserve"> 4</w:t>
      </w:r>
    </w:p>
    <w:p w14:paraId="5C038EBD"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式（</w:t>
      </w:r>
      <w:r>
        <w:rPr>
          <w:color w:val="000000"/>
        </w:rPr>
        <w:t>36</w:t>
      </w:r>
      <w:r>
        <w:rPr>
          <w:color w:val="000000"/>
        </w:rPr>
        <w:t>）至式（</w:t>
      </w:r>
      <w:r>
        <w:rPr>
          <w:color w:val="000000"/>
        </w:rPr>
        <w:t>39</w:t>
      </w:r>
      <w:r>
        <w:rPr>
          <w:color w:val="000000"/>
        </w:rPr>
        <w:t>）在局部线性化后省略了仿射残差项。作者必须证明每一个存储的工作点都满足轨迹一致性，从而使该残差恒为零；否则，应在</w:t>
      </w:r>
      <w:r>
        <w:rPr>
          <w:color w:val="000000"/>
        </w:rPr>
        <w:t xml:space="preserve"> LPV </w:t>
      </w:r>
      <w:r>
        <w:rPr>
          <w:color w:val="000000"/>
        </w:rPr>
        <w:t>模型中保留该仿射项。</w:t>
      </w:r>
    </w:p>
    <w:p w14:paraId="0F87D1B7"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逐项核对工作点的平衡</w:t>
      </w:r>
      <w:r>
        <w:rPr>
          <w:color w:val="000000"/>
        </w:rPr>
        <w:t>/</w:t>
      </w:r>
      <w:r>
        <w:rPr>
          <w:color w:val="000000"/>
        </w:rPr>
        <w:t>轨迹一致条件，给出残差定义和数值上界。若不能证明为零，应将常数仿射项纳入离散模型、插值和</w:t>
      </w:r>
      <w:r>
        <w:rPr>
          <w:color w:val="000000"/>
        </w:rPr>
        <w:t xml:space="preserve"> MPC </w:t>
      </w:r>
      <w:r>
        <w:rPr>
          <w:color w:val="000000"/>
        </w:rPr>
        <w:t>预测，并重新验证结果。</w:t>
      </w:r>
    </w:p>
    <w:p w14:paraId="6884FFEB" w14:textId="77777777" w:rsidR="008C5520" w:rsidRDefault="00BE5E16">
      <w:pPr>
        <w:pStyle w:val="3"/>
        <w:spacing w:before="160" w:after="120"/>
        <w:rPr>
          <w:rFonts w:hint="eastAsia"/>
        </w:rPr>
      </w:pPr>
      <w:r>
        <w:lastRenderedPageBreak/>
        <w:t>主要意见</w:t>
      </w:r>
      <w:r>
        <w:t xml:space="preserve"> 5</w:t>
      </w:r>
    </w:p>
    <w:p w14:paraId="515ABB2D"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坡度相关载荷模型忽略了车辆在坡面上的稳态前后轴载荷重新分配，而法向载荷又决定轮胎力极限。应给出定量理由证明该项可忽略，或在模型中加入由坡度引起的载荷转移。</w:t>
      </w:r>
    </w:p>
    <w:p w14:paraId="20CBA144"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按质心高度、轴距和坡度推导静态载荷转移项，并比较其相对法向载荷和轮胎力限幅的影响；若量级不可忽略，则更新法向载荷、轮胎限幅、</w:t>
      </w:r>
      <w:r>
        <w:rPr>
          <w:color w:val="000000"/>
        </w:rPr>
        <w:t xml:space="preserve">LPV </w:t>
      </w:r>
      <w:r>
        <w:rPr>
          <w:color w:val="000000"/>
        </w:rPr>
        <w:t>数据库和闭环试验。</w:t>
      </w:r>
    </w:p>
    <w:p w14:paraId="3EF6611B" w14:textId="77777777" w:rsidR="008C5520" w:rsidRDefault="00BE5E16">
      <w:pPr>
        <w:pStyle w:val="3"/>
        <w:spacing w:before="160" w:after="120"/>
        <w:rPr>
          <w:rFonts w:hint="eastAsia"/>
        </w:rPr>
      </w:pPr>
      <w:r>
        <w:t>主要意见</w:t>
      </w:r>
      <w:r>
        <w:t xml:space="preserve"> 6</w:t>
      </w:r>
    </w:p>
    <w:p w14:paraId="0CF81384"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参考文献总体较新，但对于不确定</w:t>
      </w:r>
      <w:r>
        <w:rPr>
          <w:color w:val="000000"/>
        </w:rPr>
        <w:t xml:space="preserve"> LPV </w:t>
      </w:r>
      <w:r>
        <w:rPr>
          <w:color w:val="000000"/>
        </w:rPr>
        <w:t>调度条件下的稳定性与递归可行性，文献覆盖仍需加强。</w:t>
      </w:r>
    </w:p>
    <w:p w14:paraId="2411661A"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补充与参数变化</w:t>
      </w:r>
      <w:r>
        <w:rPr>
          <w:color w:val="000000"/>
        </w:rPr>
        <w:t>/</w:t>
      </w:r>
      <w:r>
        <w:rPr>
          <w:color w:val="000000"/>
        </w:rPr>
        <w:t>调度误差、鲁棒</w:t>
      </w:r>
      <w:r>
        <w:rPr>
          <w:color w:val="000000"/>
        </w:rPr>
        <w:t xml:space="preserve"> LPV-MPC</w:t>
      </w:r>
      <w:r>
        <w:rPr>
          <w:color w:val="000000"/>
        </w:rPr>
        <w:t>、递归可行性和软约束相关的直接文献；同时把本文未给出正式证明的表述降格为</w:t>
      </w:r>
      <w:r>
        <w:rPr>
          <w:color w:val="000000"/>
        </w:rPr>
        <w:t>“</w:t>
      </w:r>
      <w:r>
        <w:rPr>
          <w:color w:val="000000"/>
        </w:rPr>
        <w:t>仿真中表现稳定</w:t>
      </w:r>
      <w:r>
        <w:rPr>
          <w:color w:val="000000"/>
        </w:rPr>
        <w:t>/</w:t>
      </w:r>
      <w:r>
        <w:rPr>
          <w:color w:val="000000"/>
        </w:rPr>
        <w:t>未观察到失稳</w:t>
      </w:r>
      <w:r>
        <w:rPr>
          <w:color w:val="000000"/>
        </w:rPr>
        <w:t>”</w:t>
      </w:r>
      <w:r>
        <w:rPr>
          <w:color w:val="000000"/>
        </w:rPr>
        <w:t>，避免理论性稳定结论。</w:t>
      </w:r>
    </w:p>
    <w:p w14:paraId="4A86C14C" w14:textId="77777777" w:rsidR="008C5520" w:rsidRDefault="00BE5E16">
      <w:pPr>
        <w:pStyle w:val="1"/>
        <w:pageBreakBefore/>
        <w:spacing w:before="220" w:after="120"/>
        <w:rPr>
          <w:rFonts w:hint="eastAsia"/>
        </w:rPr>
      </w:pPr>
      <w:r>
        <w:lastRenderedPageBreak/>
        <w:t>四、审稿人</w:t>
      </w:r>
      <w:r>
        <w:t xml:space="preserve"> 2</w:t>
      </w:r>
      <w:r>
        <w:t>：总体评价</w:t>
      </w:r>
    </w:p>
    <w:p w14:paraId="2EB24FE3" w14:textId="77777777" w:rsidR="008C5520" w:rsidRDefault="00BE5E16">
      <w:pPr>
        <w:pStyle w:val="2"/>
        <w:spacing w:before="160" w:after="120"/>
        <w:rPr>
          <w:rFonts w:hint="eastAsia"/>
        </w:rPr>
      </w:pPr>
      <w:r>
        <w:t xml:space="preserve">4.1 </w:t>
      </w:r>
      <w:r>
        <w:t>审稿人对论文工作的概括</w:t>
      </w:r>
    </w:p>
    <w:p w14:paraId="09AF71B0" w14:textId="77777777" w:rsidR="008C5520" w:rsidRDefault="00BE5E16">
      <w:pPr>
        <w:spacing w:after="110"/>
        <w:ind w:firstLine="420"/>
        <w:jc w:val="both"/>
        <w:rPr>
          <w:rFonts w:hint="eastAsia"/>
        </w:rPr>
      </w:pPr>
      <w:r>
        <w:rPr>
          <w:color w:val="000000"/>
        </w:rPr>
        <w:t>审稿人将本文概括为一个基于仿真的</w:t>
      </w:r>
      <w:r>
        <w:rPr>
          <w:color w:val="000000"/>
        </w:rPr>
        <w:t>“</w:t>
      </w:r>
      <w:r>
        <w:rPr>
          <w:color w:val="000000"/>
        </w:rPr>
        <w:t>感知</w:t>
      </w:r>
      <w:r>
        <w:rPr>
          <w:color w:val="000000"/>
        </w:rPr>
        <w:t>—</w:t>
      </w:r>
      <w:r>
        <w:rPr>
          <w:color w:val="000000"/>
        </w:rPr>
        <w:t>控制</w:t>
      </w:r>
      <w:r>
        <w:rPr>
          <w:color w:val="000000"/>
        </w:rPr>
        <w:t>”</w:t>
      </w:r>
      <w:r>
        <w:rPr>
          <w:color w:val="000000"/>
        </w:rPr>
        <w:t>一体化框架，主要包含：</w:t>
      </w:r>
      <w:r>
        <w:rPr>
          <w:color w:val="000000"/>
        </w:rPr>
        <w:t>①</w:t>
      </w:r>
      <w:r>
        <w:rPr>
          <w:color w:val="000000"/>
        </w:rPr>
        <w:t>受</w:t>
      </w:r>
      <w:r>
        <w:rPr>
          <w:color w:val="000000"/>
        </w:rPr>
        <w:t xml:space="preserve"> ModernTCN </w:t>
      </w:r>
      <w:r>
        <w:rPr>
          <w:color w:val="000000"/>
        </w:rPr>
        <w:t>启发的轻量级历史坡度估计器，使用</w:t>
      </w:r>
      <w:r>
        <w:rPr>
          <w:color w:val="000000"/>
        </w:rPr>
        <w:t xml:space="preserve"> 22 </w:t>
      </w:r>
      <w:r>
        <w:rPr>
          <w:color w:val="000000"/>
        </w:rPr>
        <w:t>维特征和多尺度时间差分；</w:t>
      </w:r>
      <w:r>
        <w:rPr>
          <w:color w:val="000000"/>
        </w:rPr>
        <w:t>②</w:t>
      </w:r>
      <w:r>
        <w:rPr>
          <w:color w:val="000000"/>
        </w:rPr>
        <w:t>带合格</w:t>
      </w:r>
      <w:r>
        <w:rPr>
          <w:color w:val="000000"/>
        </w:rPr>
        <w:t xml:space="preserve"> IMU </w:t>
      </w:r>
      <w:r>
        <w:rPr>
          <w:color w:val="000000"/>
        </w:rPr>
        <w:t>观测器辅助修正的有界、不确定性自适应融合；</w:t>
      </w:r>
      <w:r>
        <w:rPr>
          <w:color w:val="000000"/>
        </w:rPr>
        <w:t>③</w:t>
      </w:r>
      <w:r>
        <w:rPr>
          <w:color w:val="000000"/>
        </w:rPr>
        <w:t>坡度调度</w:t>
      </w:r>
      <w:r>
        <w:rPr>
          <w:color w:val="000000"/>
        </w:rPr>
        <w:t xml:space="preserve"> LPV-MPC</w:t>
      </w:r>
      <w:r>
        <w:rPr>
          <w:color w:val="000000"/>
        </w:rPr>
        <w:t>，其中经调理的坡度被一致地用于预测模型、测量扰动、前馈、权重和约束；并比较了零坡度、真值、观测器、学习估计和融合估计等多种调度方案。</w:t>
      </w:r>
    </w:p>
    <w:p w14:paraId="2AA92596" w14:textId="77777777" w:rsidR="008C5520" w:rsidRDefault="00BE5E16">
      <w:pPr>
        <w:pStyle w:val="2"/>
        <w:spacing w:before="160" w:after="120"/>
        <w:rPr>
          <w:rFonts w:hint="eastAsia"/>
        </w:rPr>
      </w:pPr>
      <w:r>
        <w:t xml:space="preserve">4.2 </w:t>
      </w:r>
      <w:r>
        <w:t>审稿人问卷评价</w:t>
      </w:r>
    </w:p>
    <w:p w14:paraId="3613AB42" w14:textId="77777777" w:rsidR="008C5520" w:rsidRDefault="00BE5E16">
      <w:pPr>
        <w:pStyle w:val="a4"/>
        <w:numPr>
          <w:ilvl w:val="0"/>
          <w:numId w:val="2"/>
        </w:numPr>
        <w:spacing w:after="80" w:line="320" w:lineRule="auto"/>
        <w:ind w:left="520" w:hanging="260"/>
        <w:rPr>
          <w:rFonts w:hint="eastAsia"/>
        </w:rPr>
      </w:pPr>
      <w:r>
        <w:rPr>
          <w:color w:val="000000"/>
        </w:rPr>
        <w:t>贡献：是。</w:t>
      </w:r>
    </w:p>
    <w:p w14:paraId="2B9DCC8F" w14:textId="77777777" w:rsidR="008C5520" w:rsidRDefault="00BE5E16">
      <w:pPr>
        <w:pStyle w:val="a4"/>
        <w:numPr>
          <w:ilvl w:val="0"/>
          <w:numId w:val="2"/>
        </w:numPr>
        <w:spacing w:after="80" w:line="320" w:lineRule="auto"/>
        <w:ind w:left="520" w:hanging="260"/>
        <w:rPr>
          <w:rFonts w:hint="eastAsia"/>
        </w:rPr>
      </w:pPr>
      <w:r>
        <w:rPr>
          <w:color w:val="000000"/>
        </w:rPr>
        <w:t>技术可靠性：部分可靠。建模假设、融合设计选择、参数依据，以及缺少正式稳定性分析均需进一步说明和验证。</w:t>
      </w:r>
    </w:p>
    <w:p w14:paraId="5FBD4BA9" w14:textId="77777777" w:rsidR="008C5520" w:rsidRDefault="00BE5E16">
      <w:pPr>
        <w:pStyle w:val="a4"/>
        <w:numPr>
          <w:ilvl w:val="0"/>
          <w:numId w:val="2"/>
        </w:numPr>
        <w:spacing w:after="80" w:line="320" w:lineRule="auto"/>
        <w:ind w:left="520" w:hanging="260"/>
        <w:rPr>
          <w:rFonts w:hint="eastAsia"/>
        </w:rPr>
      </w:pPr>
      <w:r>
        <w:rPr>
          <w:color w:val="000000"/>
        </w:rPr>
        <w:t>完整性：总体较完整，但方法细节、可复现性和表述清晰度需要加强。</w:t>
      </w:r>
    </w:p>
    <w:p w14:paraId="7C0C77B2" w14:textId="77777777" w:rsidR="008C5520" w:rsidRDefault="00BE5E16">
      <w:pPr>
        <w:pStyle w:val="a4"/>
        <w:numPr>
          <w:ilvl w:val="0"/>
          <w:numId w:val="2"/>
        </w:numPr>
        <w:spacing w:after="80" w:line="320" w:lineRule="auto"/>
        <w:ind w:left="520" w:hanging="260"/>
        <w:rPr>
          <w:rFonts w:hint="eastAsia"/>
        </w:rPr>
      </w:pPr>
      <w:r>
        <w:rPr>
          <w:color w:val="000000"/>
        </w:rPr>
        <w:t>参考文献：总体相关；稳定性和鲁棒性讨论可获得更好的文献支持。</w:t>
      </w:r>
    </w:p>
    <w:p w14:paraId="0558D7B0" w14:textId="77777777" w:rsidR="008C5520" w:rsidRDefault="00BE5E16">
      <w:pPr>
        <w:pStyle w:val="a4"/>
        <w:numPr>
          <w:ilvl w:val="0"/>
          <w:numId w:val="2"/>
        </w:numPr>
        <w:spacing w:after="80" w:line="320" w:lineRule="auto"/>
        <w:ind w:left="520" w:hanging="260"/>
        <w:rPr>
          <w:rFonts w:hint="eastAsia"/>
        </w:rPr>
      </w:pPr>
      <w:r>
        <w:rPr>
          <w:color w:val="000000"/>
        </w:rPr>
        <w:t>不恰当参考文献：无。</w:t>
      </w:r>
    </w:p>
    <w:p w14:paraId="3C571D55" w14:textId="77777777" w:rsidR="008C5520" w:rsidRDefault="00BE5E16">
      <w:pPr>
        <w:pStyle w:val="1"/>
        <w:pageBreakBefore/>
        <w:spacing w:before="220" w:after="120"/>
        <w:rPr>
          <w:rFonts w:hint="eastAsia"/>
        </w:rPr>
      </w:pPr>
      <w:r>
        <w:lastRenderedPageBreak/>
        <w:t>五、审稿人</w:t>
      </w:r>
      <w:r>
        <w:t xml:space="preserve"> 2</w:t>
      </w:r>
      <w:r>
        <w:t>：</w:t>
      </w:r>
      <w:r>
        <w:t xml:space="preserve">35 </w:t>
      </w:r>
      <w:r>
        <w:t>条逐条意见</w:t>
      </w:r>
    </w:p>
    <w:p w14:paraId="750D07AA" w14:textId="77777777" w:rsidR="008C5520" w:rsidRDefault="00BE5E16">
      <w:pPr>
        <w:pStyle w:val="3"/>
        <w:spacing w:before="160" w:after="120"/>
        <w:rPr>
          <w:rFonts w:hint="eastAsia"/>
        </w:rPr>
      </w:pPr>
      <w:r>
        <w:t>主要意见</w:t>
      </w:r>
      <w:r>
        <w:t xml:space="preserve"> 1</w:t>
      </w:r>
    </w:p>
    <w:p w14:paraId="0FEBF108"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摘要声称实现了控制精度、稳定性以及</w:t>
      </w:r>
      <w:r>
        <w:rPr>
          <w:color w:val="000000"/>
        </w:rPr>
        <w:t>“</w:t>
      </w:r>
      <w:r>
        <w:rPr>
          <w:color w:val="000000"/>
        </w:rPr>
        <w:t>稳定性提升</w:t>
      </w:r>
      <w:r>
        <w:rPr>
          <w:color w:val="000000"/>
        </w:rPr>
        <w:t>”</w:t>
      </w:r>
      <w:r>
        <w:rPr>
          <w:color w:val="000000"/>
        </w:rPr>
        <w:t>，但论文没有给出正式的稳定性、递归可行性、鲁棒性或有界误差分析。鉴于结论已将此类理论分析列为未来工作，除非补充严格分析，否则应删除或实质性弱化全文中的所有稳定性主张。</w:t>
      </w:r>
    </w:p>
    <w:p w14:paraId="698A8583"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全文检索</w:t>
      </w:r>
      <w:r>
        <w:rPr>
          <w:color w:val="000000"/>
        </w:rPr>
        <w:t xml:space="preserve"> stability</w:t>
      </w:r>
      <w:r>
        <w:rPr>
          <w:color w:val="000000"/>
        </w:rPr>
        <w:t>、</w:t>
      </w:r>
      <w:r>
        <w:rPr>
          <w:color w:val="000000"/>
        </w:rPr>
        <w:t>stable</w:t>
      </w:r>
      <w:r>
        <w:rPr>
          <w:color w:val="000000"/>
        </w:rPr>
        <w:t>、</w:t>
      </w:r>
      <w:r>
        <w:rPr>
          <w:color w:val="000000"/>
        </w:rPr>
        <w:t>robust</w:t>
      </w:r>
      <w:r>
        <w:rPr>
          <w:color w:val="000000"/>
        </w:rPr>
        <w:t>、</w:t>
      </w:r>
      <w:r>
        <w:rPr>
          <w:color w:val="000000"/>
        </w:rPr>
        <w:t>feasibility</w:t>
      </w:r>
      <w:r>
        <w:rPr>
          <w:color w:val="000000"/>
        </w:rPr>
        <w:t>、</w:t>
      </w:r>
      <w:r>
        <w:rPr>
          <w:color w:val="000000"/>
        </w:rPr>
        <w:t xml:space="preserve">bounded </w:t>
      </w:r>
      <w:r>
        <w:rPr>
          <w:color w:val="000000"/>
        </w:rPr>
        <w:t>等词；对没有定理或证明支撑的句子统一改为经验性、仿真限定表述。若决定补证明，则需覆盖冻结调度、插值、软约束和调度误差，而不能只证明名义单模型。</w:t>
      </w:r>
    </w:p>
    <w:p w14:paraId="0230E8FB" w14:textId="77777777" w:rsidR="008C5520" w:rsidRDefault="00BE5E16">
      <w:pPr>
        <w:pStyle w:val="3"/>
        <w:spacing w:before="160" w:after="120"/>
        <w:rPr>
          <w:rFonts w:hint="eastAsia"/>
        </w:rPr>
      </w:pPr>
      <w:r>
        <w:t>主要意见</w:t>
      </w:r>
      <w:r>
        <w:t xml:space="preserve"> 2</w:t>
      </w:r>
    </w:p>
    <w:p w14:paraId="2966985C"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应更清楚地界定本文相对于学习辅助</w:t>
      </w:r>
      <w:r>
        <w:rPr>
          <w:color w:val="000000"/>
        </w:rPr>
        <w:t xml:space="preserve"> MPC </w:t>
      </w:r>
      <w:r>
        <w:rPr>
          <w:color w:val="000000"/>
        </w:rPr>
        <w:t>和坡度估计相关研究的创新性。当前列出的三项贡献混合了特征工程、时间差分、简化的</w:t>
      </w:r>
      <w:r>
        <w:rPr>
          <w:color w:val="000000"/>
        </w:rPr>
        <w:t xml:space="preserve"> ModernTCN</w:t>
      </w:r>
      <w:r>
        <w:rPr>
          <w:color w:val="000000"/>
        </w:rPr>
        <w:t>、观测器融合和坡度调度</w:t>
      </w:r>
      <w:r>
        <w:rPr>
          <w:color w:val="000000"/>
        </w:rPr>
        <w:t xml:space="preserve"> LPV-MPC</w:t>
      </w:r>
      <w:r>
        <w:rPr>
          <w:color w:val="000000"/>
        </w:rPr>
        <w:t>。建议增加创新性对照表，或采用结构化方式与最接近的工作比较。</w:t>
      </w:r>
    </w:p>
    <w:p w14:paraId="5FEFDD9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建立</w:t>
      </w:r>
      <w:r>
        <w:rPr>
          <w:color w:val="000000"/>
        </w:rPr>
        <w:t>“</w:t>
      </w:r>
      <w:r>
        <w:rPr>
          <w:color w:val="000000"/>
        </w:rPr>
        <w:t>相关工作</w:t>
      </w:r>
      <w:r>
        <w:rPr>
          <w:color w:val="000000"/>
        </w:rPr>
        <w:t>—</w:t>
      </w:r>
      <w:r>
        <w:rPr>
          <w:color w:val="000000"/>
        </w:rPr>
        <w:t>已有能力</w:t>
      </w:r>
      <w:r>
        <w:rPr>
          <w:color w:val="000000"/>
        </w:rPr>
        <w:t>—</w:t>
      </w:r>
      <w:r>
        <w:rPr>
          <w:color w:val="000000"/>
        </w:rPr>
        <w:t>本文新增内容</w:t>
      </w:r>
      <w:r>
        <w:rPr>
          <w:color w:val="000000"/>
        </w:rPr>
        <w:t>—</w:t>
      </w:r>
      <w:r>
        <w:rPr>
          <w:color w:val="000000"/>
        </w:rPr>
        <w:t>验证证据</w:t>
      </w:r>
      <w:r>
        <w:rPr>
          <w:color w:val="000000"/>
        </w:rPr>
        <w:t>”</w:t>
      </w:r>
      <w:r>
        <w:rPr>
          <w:color w:val="000000"/>
        </w:rPr>
        <w:t>对照表；将贡献拆成可验证的算法贡献、系统集成贡献和实验贡献，避免把常规组合本身表述为独立创新。</w:t>
      </w:r>
    </w:p>
    <w:p w14:paraId="10149E02" w14:textId="77777777" w:rsidR="008C5520" w:rsidRDefault="00BE5E16">
      <w:pPr>
        <w:pStyle w:val="3"/>
        <w:spacing w:before="160" w:after="120"/>
        <w:rPr>
          <w:rFonts w:hint="eastAsia"/>
        </w:rPr>
      </w:pPr>
      <w:r>
        <w:t>主要意见</w:t>
      </w:r>
      <w:r>
        <w:t xml:space="preserve"> 3</w:t>
      </w:r>
    </w:p>
    <w:p w14:paraId="01FE7664"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应扩展对观测器辅助估计与鲁棒控制的讨论，尤其应涵盖扩展卡尔曼滤波（</w:t>
      </w:r>
      <w:r>
        <w:rPr>
          <w:color w:val="000000"/>
        </w:rPr>
        <w:t>EKF</w:t>
      </w:r>
      <w:r>
        <w:rPr>
          <w:color w:val="000000"/>
        </w:rPr>
        <w:t>）与移动机器人鲁棒控制相结合的研究。例如可讨论题为</w:t>
      </w:r>
      <w:r>
        <w:rPr>
          <w:color w:val="000000"/>
        </w:rPr>
        <w:t>“Sliding Mode Controller via Extended Kalman Filters for Mobile Robot”</w:t>
      </w:r>
      <w:r>
        <w:rPr>
          <w:color w:val="000000"/>
        </w:rPr>
        <w:t>的工作。</w:t>
      </w:r>
    </w:p>
    <w:p w14:paraId="1A108EA1"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核验该建议文献的完整书目信息和相关性；仅在确实有助于说明</w:t>
      </w:r>
      <w:r>
        <w:rPr>
          <w:color w:val="000000"/>
        </w:rPr>
        <w:t>“</w:t>
      </w:r>
      <w:r>
        <w:rPr>
          <w:color w:val="000000"/>
        </w:rPr>
        <w:t>观测器估计如何服务于鲁棒控制</w:t>
      </w:r>
      <w:r>
        <w:rPr>
          <w:color w:val="000000"/>
        </w:rPr>
        <w:t>”</w:t>
      </w:r>
      <w:r>
        <w:rPr>
          <w:color w:val="000000"/>
        </w:rPr>
        <w:t>时引用，并在回复中说明其与本文融合框架的区别。</w:t>
      </w:r>
    </w:p>
    <w:p w14:paraId="083C8817" w14:textId="77777777" w:rsidR="008C5520" w:rsidRDefault="00BE5E16">
      <w:pPr>
        <w:pStyle w:val="3"/>
        <w:spacing w:before="160" w:after="120"/>
        <w:rPr>
          <w:rFonts w:hint="eastAsia"/>
        </w:rPr>
      </w:pPr>
      <w:r>
        <w:t>主要意见</w:t>
      </w:r>
      <w:r>
        <w:t xml:space="preserve"> 4</w:t>
      </w:r>
    </w:p>
    <w:p w14:paraId="153D9D6B"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应扩展路径跟踪文献，并说明</w:t>
      </w:r>
      <w:r>
        <w:rPr>
          <w:color w:val="000000"/>
        </w:rPr>
        <w:t xml:space="preserve"> MPC </w:t>
      </w:r>
      <w:r>
        <w:rPr>
          <w:color w:val="000000"/>
        </w:rPr>
        <w:t>与其他最优、鲁棒及滑模方法之间的关系；应据此突出</w:t>
      </w:r>
      <w:r>
        <w:rPr>
          <w:color w:val="000000"/>
        </w:rPr>
        <w:t xml:space="preserve"> MPC </w:t>
      </w:r>
      <w:r>
        <w:rPr>
          <w:color w:val="000000"/>
        </w:rPr>
        <w:t>在预测、约束处理和坡度自适应方面的优势。审稿人建议考虑以下工作：</w:t>
      </w:r>
      <w:r>
        <w:rPr>
          <w:color w:val="000000"/>
        </w:rPr>
        <w:t>① Constrained Control of Fully-Constrained Cable-Driven Parallel Robots With Elastic Cables: An Optimal Robust Approach</w:t>
      </w:r>
      <w:r>
        <w:rPr>
          <w:color w:val="000000"/>
        </w:rPr>
        <w:t>；</w:t>
      </w:r>
      <w:r>
        <w:rPr>
          <w:color w:val="000000"/>
        </w:rPr>
        <w:t>② Robust Optimal Constrained Control of Fully-Constrained Cable-Driven Parallel Robots Based on GSDRE</w:t>
      </w:r>
      <w:r>
        <w:rPr>
          <w:color w:val="000000"/>
        </w:rPr>
        <w:t>；</w:t>
      </w:r>
      <w:r>
        <w:rPr>
          <w:color w:val="000000"/>
        </w:rPr>
        <w:t>③ Observer-Based Active Fault-Tolerant Sliding Mode Control for Fully-Constrained CDPRs</w:t>
      </w:r>
      <w:r>
        <w:rPr>
          <w:color w:val="000000"/>
        </w:rPr>
        <w:t>。</w:t>
      </w:r>
    </w:p>
    <w:p w14:paraId="77CCDB2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逐篇核验三篇建议文献与</w:t>
      </w:r>
      <w:r>
        <w:rPr>
          <w:color w:val="000000"/>
        </w:rPr>
        <w:t xml:space="preserve"> AGV </w:t>
      </w:r>
      <w:r>
        <w:rPr>
          <w:color w:val="000000"/>
        </w:rPr>
        <w:t>路径跟踪主题的实际关联。可将其作为</w:t>
      </w:r>
      <w:r>
        <w:rPr>
          <w:color w:val="000000"/>
        </w:rPr>
        <w:t>“</w:t>
      </w:r>
      <w:r>
        <w:rPr>
          <w:color w:val="000000"/>
        </w:rPr>
        <w:t>约束最优</w:t>
      </w:r>
      <w:r>
        <w:rPr>
          <w:color w:val="000000"/>
        </w:rPr>
        <w:t>/</w:t>
      </w:r>
      <w:r>
        <w:rPr>
          <w:color w:val="000000"/>
        </w:rPr>
        <w:t>鲁棒</w:t>
      </w:r>
      <w:r>
        <w:rPr>
          <w:color w:val="000000"/>
        </w:rPr>
        <w:t>/</w:t>
      </w:r>
      <w:r>
        <w:rPr>
          <w:color w:val="000000"/>
        </w:rPr>
        <w:t>容错控制方法</w:t>
      </w:r>
      <w:r>
        <w:rPr>
          <w:color w:val="000000"/>
        </w:rPr>
        <w:t>”</w:t>
      </w:r>
      <w:r>
        <w:rPr>
          <w:color w:val="000000"/>
        </w:rPr>
        <w:t>的方法学背景，但不应为满足建议而作牵强引用；若不引用，应在回复中礼貌说明范围差异。</w:t>
      </w:r>
    </w:p>
    <w:p w14:paraId="09003360" w14:textId="77777777" w:rsidR="008C5520" w:rsidRDefault="00BE5E16">
      <w:pPr>
        <w:pStyle w:val="3"/>
        <w:spacing w:before="160" w:after="120"/>
        <w:rPr>
          <w:rFonts w:hint="eastAsia"/>
        </w:rPr>
      </w:pPr>
      <w:r>
        <w:t>主要意见</w:t>
      </w:r>
      <w:r>
        <w:t xml:space="preserve"> 5</w:t>
      </w:r>
    </w:p>
    <w:p w14:paraId="67BF9302"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对于被动的右前轮</w:t>
      </w:r>
      <w:r>
        <w:rPr>
          <w:color w:val="000000"/>
        </w:rPr>
        <w:t>/</w:t>
      </w:r>
      <w:r>
        <w:rPr>
          <w:color w:val="000000"/>
        </w:rPr>
        <w:t>左后轮（</w:t>
      </w:r>
      <w:r>
        <w:rPr>
          <w:color w:val="000000"/>
        </w:rPr>
        <w:t>RF/LR</w:t>
      </w:r>
      <w:r>
        <w:rPr>
          <w:color w:val="000000"/>
        </w:rPr>
        <w:t>），模型保留了法向载荷和滚动阻力，却忽略了侧向力</w:t>
      </w:r>
      <w:r>
        <w:rPr>
          <w:color w:val="000000"/>
        </w:rPr>
        <w:lastRenderedPageBreak/>
        <w:t>及其偏航力矩。需要更强的物理依据，并证明这一简化不会使结论产生偏差。</w:t>
      </w:r>
    </w:p>
    <w:p w14:paraId="3B77A937"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说明</w:t>
      </w:r>
      <w:r>
        <w:rPr>
          <w:color w:val="000000"/>
        </w:rPr>
        <w:t xml:space="preserve"> RF/LR </w:t>
      </w:r>
      <w:r>
        <w:rPr>
          <w:color w:val="000000"/>
        </w:rPr>
        <w:t>轮的机械约束、轮型和侧向力机理；增加包含被动轮侧向力</w:t>
      </w:r>
      <w:r>
        <w:rPr>
          <w:color w:val="000000"/>
        </w:rPr>
        <w:t>/</w:t>
      </w:r>
      <w:r>
        <w:rPr>
          <w:color w:val="000000"/>
        </w:rPr>
        <w:t>偏航矩的敏感性模型，与原模型对照关键指标。</w:t>
      </w:r>
    </w:p>
    <w:p w14:paraId="78A375A0" w14:textId="77777777" w:rsidR="008C5520" w:rsidRDefault="00BE5E16">
      <w:pPr>
        <w:pStyle w:val="3"/>
        <w:spacing w:before="160" w:after="120"/>
        <w:rPr>
          <w:rFonts w:hint="eastAsia"/>
        </w:rPr>
      </w:pPr>
      <w:r>
        <w:t>主要意见</w:t>
      </w:r>
      <w:r>
        <w:t xml:space="preserve"> 6</w:t>
      </w:r>
    </w:p>
    <w:p w14:paraId="31E46261"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式（</w:t>
      </w:r>
      <w:r>
        <w:rPr>
          <w:color w:val="000000"/>
        </w:rPr>
        <w:t>7</w:t>
      </w:r>
      <w:r>
        <w:rPr>
          <w:color w:val="000000"/>
        </w:rPr>
        <w:t>）遗漏了坡面切向重力通过质心高度引起的静态前后轴法向载荷重新分配，该项与</w:t>
      </w:r>
      <w:r>
        <w:rPr>
          <w:color w:val="000000"/>
        </w:rPr>
        <w:t xml:space="preserve"> m g h_cg sin(θ)/L_w </w:t>
      </w:r>
      <w:r>
        <w:rPr>
          <w:color w:val="000000"/>
        </w:rPr>
        <w:t>成正比。应重新推导，或明确量化并论证忽略该项的合理性。</w:t>
      </w:r>
    </w:p>
    <w:p w14:paraId="219EE268"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重新推导坡面受力与法向载荷；给出最大坡度下该项的数值、占静态轴载比例，以及对轮胎力限幅和控制结果的影响。</w:t>
      </w:r>
    </w:p>
    <w:p w14:paraId="676067FA" w14:textId="77777777" w:rsidR="008C5520" w:rsidRDefault="00BE5E16">
      <w:pPr>
        <w:pStyle w:val="3"/>
        <w:spacing w:before="160" w:after="120"/>
        <w:rPr>
          <w:rFonts w:hint="eastAsia"/>
        </w:rPr>
      </w:pPr>
      <w:r>
        <w:t>主要意见</w:t>
      </w:r>
      <w:r>
        <w:t xml:space="preserve"> 7</w:t>
      </w:r>
    </w:p>
    <w:p w14:paraId="7881C47F"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式（</w:t>
      </w:r>
      <w:r>
        <w:rPr>
          <w:color w:val="000000"/>
        </w:rPr>
        <w:t>9</w:t>
      </w:r>
      <w:r>
        <w:rPr>
          <w:color w:val="000000"/>
        </w:rPr>
        <w:t>）至式（</w:t>
      </w:r>
      <w:r>
        <w:rPr>
          <w:color w:val="000000"/>
        </w:rPr>
        <w:t>11</w:t>
      </w:r>
      <w:r>
        <w:rPr>
          <w:color w:val="000000"/>
        </w:rPr>
        <w:t>）的力坐标处理不一致：驱动力通过</w:t>
      </w:r>
      <w:r>
        <w:rPr>
          <w:color w:val="000000"/>
        </w:rPr>
        <w:t xml:space="preserve"> R(δ_i) </w:t>
      </w:r>
      <w:r>
        <w:rPr>
          <w:color w:val="000000"/>
        </w:rPr>
        <w:t>旋转，而侧向轮胎力似乎没有进行同样的坐标变换。由于转角可达</w:t>
      </w:r>
      <w:r>
        <w:rPr>
          <w:color w:val="000000"/>
        </w:rPr>
        <w:t xml:space="preserve"> 90°</w:t>
      </w:r>
      <w:r>
        <w:rPr>
          <w:color w:val="000000"/>
        </w:rPr>
        <w:t>，应对纵向力和侧向力都采用一致的轮坐标系到车体坐标系变换，并使用完整的叉积</w:t>
      </w:r>
      <w:r>
        <w:rPr>
          <w:color w:val="000000"/>
        </w:rPr>
        <w:t xml:space="preserve"> r_i × F_i </w:t>
      </w:r>
      <w:r>
        <w:rPr>
          <w:color w:val="000000"/>
        </w:rPr>
        <w:t>计算偏航力矩。</w:t>
      </w:r>
    </w:p>
    <w:p w14:paraId="255C44CF"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统一定义轮系和车体系力向量，逐轮写出旋转矩阵及位置矢量叉积；更新公式、代码与验证，特别检查</w:t>
      </w:r>
      <w:r>
        <w:rPr>
          <w:color w:val="000000"/>
        </w:rPr>
        <w:t xml:space="preserve"> 90° </w:t>
      </w:r>
      <w:r>
        <w:rPr>
          <w:color w:val="000000"/>
        </w:rPr>
        <w:t>附近的符号和分量。</w:t>
      </w:r>
    </w:p>
    <w:p w14:paraId="5FC878A9" w14:textId="77777777" w:rsidR="008C5520" w:rsidRDefault="00BE5E16">
      <w:pPr>
        <w:pStyle w:val="3"/>
        <w:spacing w:before="160" w:after="120"/>
        <w:rPr>
          <w:rFonts w:hint="eastAsia"/>
        </w:rPr>
      </w:pPr>
      <w:r>
        <w:t>主要意见</w:t>
      </w:r>
      <w:r>
        <w:t xml:space="preserve"> 8</w:t>
      </w:r>
    </w:p>
    <w:p w14:paraId="28C9E5D4"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式（</w:t>
      </w:r>
      <w:r>
        <w:rPr>
          <w:color w:val="000000"/>
        </w:rPr>
        <w:t>4</w:t>
      </w:r>
      <w:r>
        <w:rPr>
          <w:color w:val="000000"/>
        </w:rPr>
        <w:t>）用</w:t>
      </w:r>
      <w:r>
        <w:rPr>
          <w:color w:val="000000"/>
        </w:rPr>
        <w:t xml:space="preserve"> V_bus − k_e ω_m </w:t>
      </w:r>
      <w:r>
        <w:rPr>
          <w:color w:val="000000"/>
        </w:rPr>
        <w:t>计算电压限制电流，随后又施加对称的</w:t>
      </w:r>
      <w:r>
        <w:rPr>
          <w:color w:val="000000"/>
        </w:rPr>
        <w:t xml:space="preserve"> ±I_eff </w:t>
      </w:r>
      <w:r>
        <w:rPr>
          <w:color w:val="000000"/>
        </w:rPr>
        <w:t>限幅；这种写法似乎把电动工况约束同时用于正、负方向，而再生</w:t>
      </w:r>
      <w:r>
        <w:rPr>
          <w:color w:val="000000"/>
        </w:rPr>
        <w:t>/</w:t>
      </w:r>
      <w:r>
        <w:rPr>
          <w:color w:val="000000"/>
        </w:rPr>
        <w:t>制动工况通常不同。由于模型允许</w:t>
      </w:r>
      <w:r>
        <w:rPr>
          <w:color w:val="000000"/>
        </w:rPr>
        <w:t xml:space="preserve"> F_cmd </w:t>
      </w:r>
      <w:r>
        <w:rPr>
          <w:color w:val="000000"/>
        </w:rPr>
        <w:t>为负，应使符号处理在物理上保持一致，或明确说明这一简化并评估其影响。</w:t>
      </w:r>
    </w:p>
    <w:p w14:paraId="6482C83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区分电动与再生制动的电压、电流和扭矩边界；若继续使用对称限幅，给出适用假设，并通过非对称限幅敏感性试验证明结论不依赖该简化。</w:t>
      </w:r>
    </w:p>
    <w:p w14:paraId="0847A36D" w14:textId="77777777" w:rsidR="008C5520" w:rsidRDefault="00BE5E16">
      <w:pPr>
        <w:pStyle w:val="3"/>
        <w:spacing w:before="160" w:after="120"/>
        <w:rPr>
          <w:rFonts w:hint="eastAsia"/>
        </w:rPr>
      </w:pPr>
      <w:r>
        <w:t>主要意见</w:t>
      </w:r>
      <w:r>
        <w:t xml:space="preserve"> 9</w:t>
      </w:r>
    </w:p>
    <w:p w14:paraId="3F553DFA"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II-A </w:t>
      </w:r>
      <w:r>
        <w:rPr>
          <w:color w:val="000000"/>
        </w:rPr>
        <w:t>节和表</w:t>
      </w:r>
      <w:r>
        <w:rPr>
          <w:color w:val="000000"/>
        </w:rPr>
        <w:t xml:space="preserve"> 1 </w:t>
      </w:r>
      <w:r>
        <w:rPr>
          <w:color w:val="000000"/>
        </w:rPr>
        <w:t>缺少复现实验所需的物理参数，包括决定</w:t>
      </w:r>
      <w:r>
        <w:rPr>
          <w:color w:val="000000"/>
        </w:rPr>
        <w:t xml:space="preserve"> τ_e </w:t>
      </w:r>
      <w:r>
        <w:rPr>
          <w:color w:val="000000"/>
        </w:rPr>
        <w:t>的电机电气参数、</w:t>
      </w:r>
      <w:r>
        <w:rPr>
          <w:color w:val="000000"/>
        </w:rPr>
        <w:t>V_bus</w:t>
      </w:r>
      <w:r>
        <w:rPr>
          <w:color w:val="000000"/>
        </w:rPr>
        <w:t>、</w:t>
      </w:r>
      <w:r>
        <w:rPr>
          <w:color w:val="000000"/>
        </w:rPr>
        <w:t>k_e</w:t>
      </w:r>
      <w:r>
        <w:rPr>
          <w:color w:val="000000"/>
        </w:rPr>
        <w:t>、</w:t>
      </w:r>
      <w:r>
        <w:rPr>
          <w:color w:val="000000"/>
        </w:rPr>
        <w:t>R_m</w:t>
      </w:r>
      <w:r>
        <w:rPr>
          <w:color w:val="000000"/>
        </w:rPr>
        <w:t>、</w:t>
      </w:r>
      <w:r>
        <w:rPr>
          <w:color w:val="000000"/>
        </w:rPr>
        <w:t>L_m</w:t>
      </w:r>
      <w:r>
        <w:rPr>
          <w:color w:val="000000"/>
        </w:rPr>
        <w:t>，以及阈值</w:t>
      </w:r>
      <w:r>
        <w:rPr>
          <w:color w:val="000000"/>
        </w:rPr>
        <w:t xml:space="preserve"> ω_min</w:t>
      </w:r>
      <w:r>
        <w:rPr>
          <w:color w:val="000000"/>
        </w:rPr>
        <w:t>、</w:t>
      </w:r>
      <w:r>
        <w:rPr>
          <w:color w:val="000000"/>
        </w:rPr>
        <w:t xml:space="preserve">v_low </w:t>
      </w:r>
      <w:r>
        <w:rPr>
          <w:color w:val="000000"/>
        </w:rPr>
        <w:t>和</w:t>
      </w:r>
      <w:r>
        <w:rPr>
          <w:color w:val="000000"/>
        </w:rPr>
        <w:t xml:space="preserve"> ζ_f </w:t>
      </w:r>
      <w:r>
        <w:rPr>
          <w:color w:val="000000"/>
        </w:rPr>
        <w:t>中的滤波时间常数。这使独立复现无法完成。</w:t>
      </w:r>
    </w:p>
    <w:p w14:paraId="44376E32"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整理</w:t>
      </w:r>
      <w:r>
        <w:rPr>
          <w:color w:val="000000"/>
        </w:rPr>
        <w:t>“</w:t>
      </w:r>
      <w:r>
        <w:rPr>
          <w:color w:val="000000"/>
        </w:rPr>
        <w:t>完整参数与单位表</w:t>
      </w:r>
      <w:r>
        <w:rPr>
          <w:color w:val="000000"/>
        </w:rPr>
        <w:t>”</w:t>
      </w:r>
      <w:r>
        <w:rPr>
          <w:color w:val="000000"/>
        </w:rPr>
        <w:t>，确保模型、训练数据生成、观测器、融合、调度和</w:t>
      </w:r>
      <w:r>
        <w:rPr>
          <w:color w:val="000000"/>
        </w:rPr>
        <w:t xml:space="preserve"> MPC </w:t>
      </w:r>
      <w:r>
        <w:rPr>
          <w:color w:val="000000"/>
        </w:rPr>
        <w:t>中的所有数值常数均有出处或标定说明。</w:t>
      </w:r>
    </w:p>
    <w:p w14:paraId="1D8B4DDB" w14:textId="77777777" w:rsidR="008C5520" w:rsidRDefault="00BE5E16">
      <w:pPr>
        <w:pStyle w:val="3"/>
        <w:spacing w:before="160" w:after="120"/>
        <w:rPr>
          <w:rFonts w:hint="eastAsia"/>
        </w:rPr>
      </w:pPr>
      <w:r>
        <w:t>主要意见</w:t>
      </w:r>
      <w:r>
        <w:t xml:space="preserve"> 10</w:t>
      </w:r>
    </w:p>
    <w:p w14:paraId="04368E4C"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合成训练数据、</w:t>
      </w:r>
      <w:r>
        <w:rPr>
          <w:color w:val="000000"/>
        </w:rPr>
        <w:t xml:space="preserve">LPV </w:t>
      </w:r>
      <w:r>
        <w:rPr>
          <w:color w:val="000000"/>
        </w:rPr>
        <w:t>数据库以及闭环仿真采用同一非线性被控对象版本和参数，形成类似</w:t>
      </w:r>
      <w:r>
        <w:rPr>
          <w:color w:val="000000"/>
        </w:rPr>
        <w:t>“</w:t>
      </w:r>
      <w:r>
        <w:rPr>
          <w:color w:val="000000"/>
        </w:rPr>
        <w:t>逆犯罪</w:t>
      </w:r>
      <w:r>
        <w:rPr>
          <w:color w:val="000000"/>
        </w:rPr>
        <w:t>”</w:t>
      </w:r>
      <w:r>
        <w:rPr>
          <w:color w:val="000000"/>
        </w:rPr>
        <w:t>（</w:t>
      </w:r>
      <w:r>
        <w:rPr>
          <w:color w:val="000000"/>
        </w:rPr>
        <w:t>inverse-crime-like</w:t>
      </w:r>
      <w:r>
        <w:rPr>
          <w:color w:val="000000"/>
        </w:rPr>
        <w:t>）的匹配评估。应加入系统性的失配试验，例如质量、惯量、轮胎刚度、摩擦、电机常数、传感器偏置和载荷变化；否则，论文主张必须限定在名义匹配模型仿真范围内。</w:t>
      </w:r>
    </w:p>
    <w:p w14:paraId="3BFDB4E1"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建立独立验证</w:t>
      </w:r>
      <w:r>
        <w:rPr>
          <w:color w:val="000000"/>
        </w:rPr>
        <w:t xml:space="preserve"> plant </w:t>
      </w:r>
      <w:r>
        <w:rPr>
          <w:color w:val="000000"/>
        </w:rPr>
        <w:t>配置和批量参数扫描；区分训练模型、控制器内部模型、验证被控对象三套参数来源，并报告最坏情形与分布统计。</w:t>
      </w:r>
    </w:p>
    <w:p w14:paraId="0F10E938" w14:textId="77777777" w:rsidR="008C5520" w:rsidRDefault="00BE5E16">
      <w:pPr>
        <w:pStyle w:val="3"/>
        <w:spacing w:before="160" w:after="120"/>
        <w:rPr>
          <w:rFonts w:hint="eastAsia"/>
        </w:rPr>
      </w:pPr>
      <w:r>
        <w:lastRenderedPageBreak/>
        <w:t>主要意见</w:t>
      </w:r>
      <w:r>
        <w:t xml:space="preserve"> 11</w:t>
      </w:r>
    </w:p>
    <w:p w14:paraId="16CFB5C7"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所用网络相较原始</w:t>
      </w:r>
      <w:r>
        <w:rPr>
          <w:color w:val="000000"/>
        </w:rPr>
        <w:t xml:space="preserve"> ModernTCN </w:t>
      </w:r>
      <w:r>
        <w:rPr>
          <w:color w:val="000000"/>
        </w:rPr>
        <w:t>已显著简化：没有</w:t>
      </w:r>
      <w:r>
        <w:rPr>
          <w:color w:val="000000"/>
        </w:rPr>
        <w:t xml:space="preserve"> patch embedding</w:t>
      </w:r>
      <w:r>
        <w:rPr>
          <w:color w:val="000000"/>
        </w:rPr>
        <w:t>、多阶段层次结构、重参数化大核以及分组</w:t>
      </w:r>
      <w:r>
        <w:rPr>
          <w:color w:val="000000"/>
        </w:rPr>
        <w:t xml:space="preserve"> ConvFFN</w:t>
      </w:r>
      <w:r>
        <w:rPr>
          <w:color w:val="000000"/>
        </w:rPr>
        <w:t>。应解释为何仍称为</w:t>
      </w:r>
      <w:r>
        <w:rPr>
          <w:color w:val="000000"/>
        </w:rPr>
        <w:t xml:space="preserve"> ModernTCN</w:t>
      </w:r>
      <w:r>
        <w:rPr>
          <w:color w:val="000000"/>
        </w:rPr>
        <w:t>，而不是</w:t>
      </w:r>
      <w:r>
        <w:rPr>
          <w:color w:val="000000"/>
        </w:rPr>
        <w:t>“</w:t>
      </w:r>
      <w:r>
        <w:rPr>
          <w:color w:val="000000"/>
        </w:rPr>
        <w:t>受</w:t>
      </w:r>
      <w:r>
        <w:rPr>
          <w:color w:val="000000"/>
        </w:rPr>
        <w:t xml:space="preserve"> ModernTCN </w:t>
      </w:r>
      <w:r>
        <w:rPr>
          <w:color w:val="000000"/>
        </w:rPr>
        <w:t>启发</w:t>
      </w:r>
      <w:r>
        <w:rPr>
          <w:color w:val="000000"/>
        </w:rPr>
        <w:t>/</w:t>
      </w:r>
      <w:r>
        <w:rPr>
          <w:color w:val="000000"/>
        </w:rPr>
        <w:t>由其派生</w:t>
      </w:r>
      <w:r>
        <w:rPr>
          <w:color w:val="000000"/>
        </w:rPr>
        <w:t>”</w:t>
      </w:r>
      <w:r>
        <w:rPr>
          <w:color w:val="000000"/>
        </w:rPr>
        <w:t>；并通过消融区分网络骨干与工程特征、时间差分各自的贡献。</w:t>
      </w:r>
    </w:p>
    <w:p w14:paraId="397D621E"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建议将命名统一为</w:t>
      </w:r>
      <w:r>
        <w:rPr>
          <w:color w:val="000000"/>
        </w:rPr>
        <w:t xml:space="preserve"> ModernTCN-inspired</w:t>
      </w:r>
      <w:r>
        <w:rPr>
          <w:color w:val="000000"/>
        </w:rPr>
        <w:t>（受</w:t>
      </w:r>
      <w:r>
        <w:rPr>
          <w:color w:val="000000"/>
        </w:rPr>
        <w:t xml:space="preserve"> ModernTCN </w:t>
      </w:r>
      <w:r>
        <w:rPr>
          <w:color w:val="000000"/>
        </w:rPr>
        <w:t>启发）或给出严格结构对应；增加原始特征、差分特征、简化骨干及其组合的消融。</w:t>
      </w:r>
    </w:p>
    <w:p w14:paraId="1A29F609" w14:textId="77777777" w:rsidR="008C5520" w:rsidRDefault="00BE5E16">
      <w:pPr>
        <w:pStyle w:val="3"/>
        <w:spacing w:before="160" w:after="120"/>
        <w:rPr>
          <w:rFonts w:hint="eastAsia"/>
        </w:rPr>
      </w:pPr>
      <w:r>
        <w:t>主要意见</w:t>
      </w:r>
      <w:r>
        <w:t xml:space="preserve"> 12</w:t>
      </w:r>
    </w:p>
    <w:p w14:paraId="56D088A4"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式（</w:t>
      </w:r>
      <w:r>
        <w:rPr>
          <w:color w:val="000000"/>
        </w:rPr>
        <w:t>19</w:t>
      </w:r>
      <w:r>
        <w:rPr>
          <w:color w:val="000000"/>
        </w:rPr>
        <w:t>）不可复现：</w:t>
      </w:r>
      <w:r>
        <w:rPr>
          <w:color w:val="000000"/>
        </w:rPr>
        <w:t>L_θ</w:t>
      </w:r>
      <w:r>
        <w:rPr>
          <w:color w:val="000000"/>
        </w:rPr>
        <w:t>、</w:t>
      </w:r>
      <w:r>
        <w:rPr>
          <w:color w:val="000000"/>
        </w:rPr>
        <w:t>L_main</w:t>
      </w:r>
      <w:r>
        <w:rPr>
          <w:color w:val="000000"/>
        </w:rPr>
        <w:t>、</w:t>
      </w:r>
      <w:r>
        <w:rPr>
          <w:color w:val="000000"/>
        </w:rPr>
        <w:t>L_turn</w:t>
      </w:r>
      <w:r>
        <w:rPr>
          <w:color w:val="000000"/>
        </w:rPr>
        <w:t>、</w:t>
      </w:r>
      <w:r>
        <w:rPr>
          <w:color w:val="000000"/>
        </w:rPr>
        <w:t xml:space="preserve">R_θ </w:t>
      </w:r>
      <w:r>
        <w:rPr>
          <w:color w:val="000000"/>
        </w:rPr>
        <w:t>的定义，</w:t>
      </w:r>
      <w:r>
        <w:rPr>
          <w:color w:val="000000"/>
        </w:rPr>
        <w:t>λ_θ</w:t>
      </w:r>
      <w:r>
        <w:rPr>
          <w:color w:val="000000"/>
        </w:rPr>
        <w:t>、</w:t>
      </w:r>
      <w:r>
        <w:rPr>
          <w:color w:val="000000"/>
        </w:rPr>
        <w:t xml:space="preserve">λ_turn </w:t>
      </w:r>
      <w:r>
        <w:rPr>
          <w:color w:val="000000"/>
        </w:rPr>
        <w:t>的数值，以及平路惩罚和有界误差惩罚的公式与系数均未给出。</w:t>
      </w:r>
    </w:p>
    <w:p w14:paraId="1916DF7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给出完整损失函数、各分量单位</w:t>
      </w:r>
      <w:r>
        <w:rPr>
          <w:color w:val="000000"/>
        </w:rPr>
        <w:t>/</w:t>
      </w:r>
      <w:r>
        <w:rPr>
          <w:color w:val="000000"/>
        </w:rPr>
        <w:t>归一化、所有权重和训练时实际实现；用伪代码或配置表确保公式与代码一致。</w:t>
      </w:r>
    </w:p>
    <w:p w14:paraId="1D876A37" w14:textId="77777777" w:rsidR="008C5520" w:rsidRDefault="00BE5E16">
      <w:pPr>
        <w:pStyle w:val="3"/>
        <w:spacing w:before="160" w:after="120"/>
        <w:rPr>
          <w:rFonts w:hint="eastAsia"/>
        </w:rPr>
      </w:pPr>
      <w:r>
        <w:t>主要意见</w:t>
      </w:r>
      <w:r>
        <w:t xml:space="preserve"> 13</w:t>
      </w:r>
    </w:p>
    <w:p w14:paraId="6F028A3B"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将</w:t>
      </w:r>
      <w:r>
        <w:rPr>
          <w:color w:val="000000"/>
        </w:rPr>
        <w:t xml:space="preserve"> c_main</w:t>
      </w:r>
      <w:r>
        <w:rPr>
          <w:color w:val="000000"/>
        </w:rPr>
        <w:t>（</w:t>
      </w:r>
      <w:r>
        <w:rPr>
          <w:color w:val="000000"/>
        </w:rPr>
        <w:t xml:space="preserve">softmax </w:t>
      </w:r>
      <w:r>
        <w:rPr>
          <w:color w:val="000000"/>
        </w:rPr>
        <w:t>最大值）用于标定</w:t>
      </w:r>
      <w:r>
        <w:rPr>
          <w:color w:val="000000"/>
        </w:rPr>
        <w:t xml:space="preserve"> ModernTCN </w:t>
      </w:r>
      <w:r>
        <w:rPr>
          <w:color w:val="000000"/>
        </w:rPr>
        <w:t>的不确定性，但最大</w:t>
      </w:r>
      <w:r>
        <w:rPr>
          <w:color w:val="000000"/>
        </w:rPr>
        <w:t xml:space="preserve"> softmax </w:t>
      </w:r>
      <w:r>
        <w:rPr>
          <w:color w:val="000000"/>
        </w:rPr>
        <w:t>概率并不会自动成为校准后的置信度。应报告校准方法、校准误差</w:t>
      </w:r>
      <w:r>
        <w:rPr>
          <w:color w:val="000000"/>
        </w:rPr>
        <w:t>/</w:t>
      </w:r>
      <w:r>
        <w:rPr>
          <w:color w:val="000000"/>
        </w:rPr>
        <w:t>可靠性图，以及</w:t>
      </w:r>
      <w:r>
        <w:rPr>
          <w:color w:val="000000"/>
        </w:rPr>
        <w:t xml:space="preserve"> c_main </w:t>
      </w:r>
      <w:r>
        <w:rPr>
          <w:color w:val="000000"/>
        </w:rPr>
        <w:t>到</w:t>
      </w:r>
      <w:r>
        <w:rPr>
          <w:color w:val="000000"/>
        </w:rPr>
        <w:t xml:space="preserve"> P_M,k </w:t>
      </w:r>
      <w:r>
        <w:rPr>
          <w:color w:val="000000"/>
        </w:rPr>
        <w:t>的精确映射；否则，不确定性融合的定义不充分。</w:t>
      </w:r>
    </w:p>
    <w:p w14:paraId="4F7DF9DC"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在验证集上做置信度校准，报告</w:t>
      </w:r>
      <w:r>
        <w:rPr>
          <w:color w:val="000000"/>
        </w:rPr>
        <w:t xml:space="preserve"> ECE </w:t>
      </w:r>
      <w:r>
        <w:rPr>
          <w:color w:val="000000"/>
        </w:rPr>
        <w:t>等指标和可靠性图；给出</w:t>
      </w:r>
      <w:r>
        <w:rPr>
          <w:color w:val="000000"/>
        </w:rPr>
        <w:t xml:space="preserve"> P_M,k </w:t>
      </w:r>
      <w:r>
        <w:rPr>
          <w:color w:val="000000"/>
        </w:rPr>
        <w:t>的量纲、上下界、映射公式与校准数据来源，避免使用测试集调参。</w:t>
      </w:r>
    </w:p>
    <w:p w14:paraId="2EE753A6" w14:textId="77777777" w:rsidR="008C5520" w:rsidRDefault="00BE5E16">
      <w:pPr>
        <w:pStyle w:val="3"/>
        <w:spacing w:before="160" w:after="120"/>
        <w:rPr>
          <w:rFonts w:hint="eastAsia"/>
        </w:rPr>
      </w:pPr>
      <w:r>
        <w:t>主要意见</w:t>
      </w:r>
      <w:r>
        <w:t xml:space="preserve"> 14</w:t>
      </w:r>
    </w:p>
    <w:p w14:paraId="7B80E244"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对轮速进行数值微分会放大噪声。应明确轮速、电流、转角和陀螺仪的量化与噪声模型，以及训练和闭环阶段采用的偏置、振动和滤波设置。</w:t>
      </w:r>
    </w:p>
    <w:p w14:paraId="1A75382D"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形成传感器误差模型表；说明微分器</w:t>
      </w:r>
      <w:r>
        <w:rPr>
          <w:color w:val="000000"/>
        </w:rPr>
        <w:t>/</w:t>
      </w:r>
      <w:r>
        <w:rPr>
          <w:color w:val="000000"/>
        </w:rPr>
        <w:t>滤波器形式、截止频率和延迟，并对量化、噪声与滤波参数进行敏感性测试。</w:t>
      </w:r>
    </w:p>
    <w:p w14:paraId="1DF8D85D" w14:textId="77777777" w:rsidR="008C5520" w:rsidRDefault="00BE5E16">
      <w:pPr>
        <w:pStyle w:val="3"/>
        <w:spacing w:before="160" w:after="120"/>
        <w:rPr>
          <w:rFonts w:hint="eastAsia"/>
        </w:rPr>
      </w:pPr>
      <w:r>
        <w:t>主要意见</w:t>
      </w:r>
      <w:r>
        <w:t xml:space="preserve"> 15</w:t>
      </w:r>
    </w:p>
    <w:p w14:paraId="6E911C3C"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文中称筛选过滞后偏移</w:t>
      </w:r>
      <w:r>
        <w:rPr>
          <w:color w:val="000000"/>
        </w:rPr>
        <w:t xml:space="preserve"> {1,2,4,8,16,32,64} </w:t>
      </w:r>
      <w:r>
        <w:rPr>
          <w:color w:val="000000"/>
        </w:rPr>
        <w:t>和不同表示形式，但只展示了</w:t>
      </w:r>
      <w:r>
        <w:rPr>
          <w:color w:val="000000"/>
        </w:rPr>
        <w:t xml:space="preserve">“22 </w:t>
      </w:r>
      <w:r>
        <w:rPr>
          <w:color w:val="000000"/>
        </w:rPr>
        <w:t>维特征与</w:t>
      </w:r>
      <w:r>
        <w:rPr>
          <w:color w:val="000000"/>
        </w:rPr>
        <w:t xml:space="preserve"> Δ </w:t>
      </w:r>
      <w:r>
        <w:rPr>
          <w:color w:val="000000"/>
        </w:rPr>
        <w:t>最终方案</w:t>
      </w:r>
      <w:r>
        <w:rPr>
          <w:color w:val="000000"/>
        </w:rPr>
        <w:t>”</w:t>
      </w:r>
      <w:r>
        <w:rPr>
          <w:color w:val="000000"/>
        </w:rPr>
        <w:t>。应报告用于选择</w:t>
      </w:r>
      <w:r>
        <w:rPr>
          <w:color w:val="000000"/>
        </w:rPr>
        <w:t xml:space="preserve"> {1,2,4} </w:t>
      </w:r>
      <w:r>
        <w:rPr>
          <w:color w:val="000000"/>
        </w:rPr>
        <w:t>的完整滞后</w:t>
      </w:r>
      <w:r>
        <w:rPr>
          <w:color w:val="000000"/>
        </w:rPr>
        <w:t>/</w:t>
      </w:r>
      <w:r>
        <w:rPr>
          <w:color w:val="000000"/>
        </w:rPr>
        <w:t>表示消融，最好只基于验证集，以证明不存在未披露的事后选择。</w:t>
      </w:r>
    </w:p>
    <w:p w14:paraId="4FF50954"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补充完整候选集、选择指标、随机种子和验证集结果；明确测试集从未参与结构选择。</w:t>
      </w:r>
    </w:p>
    <w:p w14:paraId="0673CC23" w14:textId="77777777" w:rsidR="008C5520" w:rsidRDefault="00BE5E16">
      <w:pPr>
        <w:pStyle w:val="3"/>
        <w:spacing w:before="160" w:after="120"/>
        <w:rPr>
          <w:rFonts w:hint="eastAsia"/>
        </w:rPr>
      </w:pPr>
      <w:r>
        <w:t>主要意见</w:t>
      </w:r>
      <w:r>
        <w:t xml:space="preserve"> 16</w:t>
      </w:r>
    </w:p>
    <w:p w14:paraId="236B0E6B"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 xml:space="preserve">N_h = 128 </w:t>
      </w:r>
      <w:r>
        <w:rPr>
          <w:color w:val="000000"/>
        </w:rPr>
        <w:t>被称为依据响应时间计算得到，但论文未给出计算过程。应展示推导，给出代表性的速度、坡度和等效惯量，并报告窗口长度敏感性。</w:t>
      </w:r>
    </w:p>
    <w:p w14:paraId="5D14DF15"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补推响应时间到采样窗口的换算；测试若干窗口长度，报告精度、延迟、参数量和实时开销的权衡。</w:t>
      </w:r>
    </w:p>
    <w:p w14:paraId="04BF1C06" w14:textId="77777777" w:rsidR="008C5520" w:rsidRDefault="00BE5E16">
      <w:pPr>
        <w:pStyle w:val="3"/>
        <w:spacing w:before="160" w:after="120"/>
        <w:rPr>
          <w:rFonts w:hint="eastAsia"/>
        </w:rPr>
      </w:pPr>
      <w:r>
        <w:lastRenderedPageBreak/>
        <w:t>主要意见</w:t>
      </w:r>
      <w:r>
        <w:t xml:space="preserve"> 17</w:t>
      </w:r>
    </w:p>
    <w:p w14:paraId="32A2BB2B"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w:t>
      </w:r>
      <w:r>
        <w:rPr>
          <w:color w:val="000000"/>
        </w:rPr>
        <w:t>合格观测器</w:t>
      </w:r>
      <w:r>
        <w:rPr>
          <w:color w:val="000000"/>
        </w:rPr>
        <w:t>”</w:t>
      </w:r>
      <w:r>
        <w:rPr>
          <w:color w:val="000000"/>
        </w:rPr>
        <w:t>（</w:t>
      </w:r>
      <w:r>
        <w:rPr>
          <w:color w:val="000000"/>
        </w:rPr>
        <w:t>qualified observer</w:t>
      </w:r>
      <w:r>
        <w:rPr>
          <w:color w:val="000000"/>
        </w:rPr>
        <w:t>）仅用通用映射</w:t>
      </w:r>
      <w:r>
        <w:rPr>
          <w:color w:val="000000"/>
        </w:rPr>
        <w:t xml:space="preserve"> f_obs</w:t>
      </w:r>
      <w:r>
        <w:rPr>
          <w:color w:val="000000"/>
        </w:rPr>
        <w:t>、</w:t>
      </w:r>
      <w:r>
        <w:rPr>
          <w:color w:val="000000"/>
        </w:rPr>
        <w:t>h_obs</w:t>
      </w:r>
      <w:r>
        <w:rPr>
          <w:color w:val="000000"/>
        </w:rPr>
        <w:t>、</w:t>
      </w:r>
      <w:r>
        <w:rPr>
          <w:color w:val="000000"/>
        </w:rPr>
        <w:t>G_θ</w:t>
      </w:r>
      <w:r>
        <w:rPr>
          <w:color w:val="000000"/>
        </w:rPr>
        <w:t>、</w:t>
      </w:r>
      <w:r>
        <w:rPr>
          <w:color w:val="000000"/>
        </w:rPr>
        <w:t xml:space="preserve">F </w:t>
      </w:r>
      <w:r>
        <w:rPr>
          <w:color w:val="000000"/>
        </w:rPr>
        <w:t>描述，信息不足。应提供完整状态定义、传播方程、重力观测方程、适用时的雅可比矩阵、协方差更新、质量评分定义，以及道路坐标系坡度转换方法。</w:t>
      </w:r>
    </w:p>
    <w:p w14:paraId="27F321CF"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将观测器写到可独立实现的程度；列全状态、输入、噪声协方差、初始化、更新、门控和质量分数计算，并与代码变量逐一对应。</w:t>
      </w:r>
    </w:p>
    <w:p w14:paraId="3564DD17" w14:textId="77777777" w:rsidR="008C5520" w:rsidRDefault="00BE5E16">
      <w:pPr>
        <w:pStyle w:val="3"/>
        <w:spacing w:before="160" w:after="120"/>
        <w:rPr>
          <w:rFonts w:hint="eastAsia"/>
        </w:rPr>
      </w:pPr>
      <w:r>
        <w:t>主要意见</w:t>
      </w:r>
      <w:r>
        <w:t xml:space="preserve"> 18</w:t>
      </w:r>
    </w:p>
    <w:p w14:paraId="79827B7E"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III-D </w:t>
      </w:r>
      <w:r>
        <w:rPr>
          <w:color w:val="000000"/>
        </w:rPr>
        <w:t>节中的融合变量</w:t>
      </w:r>
      <w:r>
        <w:rPr>
          <w:color w:val="000000"/>
        </w:rPr>
        <w:t xml:space="preserve"> P_M,k</w:t>
      </w:r>
      <w:r>
        <w:rPr>
          <w:color w:val="000000"/>
        </w:rPr>
        <w:t>、</w:t>
      </w:r>
      <w:r>
        <w:rPr>
          <w:color w:val="000000"/>
        </w:rPr>
        <w:t xml:space="preserve">P_O,k </w:t>
      </w:r>
      <w:r>
        <w:rPr>
          <w:color w:val="000000"/>
        </w:rPr>
        <w:t>和</w:t>
      </w:r>
      <w:r>
        <w:rPr>
          <w:color w:val="000000"/>
        </w:rPr>
        <w:t xml:space="preserve"> C_k </w:t>
      </w:r>
      <w:r>
        <w:rPr>
          <w:color w:val="000000"/>
        </w:rPr>
        <w:t>是式（</w:t>
      </w:r>
      <w:r>
        <w:rPr>
          <w:color w:val="000000"/>
        </w:rPr>
        <w:t>31</w:t>
      </w:r>
      <w:r>
        <w:rPr>
          <w:color w:val="000000"/>
        </w:rPr>
        <w:t>）的核心，但论文没有给出精确的工况定义、存储的误差矩数值，也没有给出</w:t>
      </w:r>
      <w:r>
        <w:rPr>
          <w:color w:val="000000"/>
        </w:rPr>
        <w:t xml:space="preserve"> ModernTCN </w:t>
      </w:r>
      <w:r>
        <w:rPr>
          <w:color w:val="000000"/>
        </w:rPr>
        <w:t>置信度与观测器质量分数在线修正这些矩的公式。由于论文声称贡献之一是</w:t>
      </w:r>
      <w:r>
        <w:rPr>
          <w:color w:val="000000"/>
        </w:rPr>
        <w:t>“</w:t>
      </w:r>
      <w:r>
        <w:rPr>
          <w:color w:val="000000"/>
        </w:rPr>
        <w:t>不确定性自适应</w:t>
      </w:r>
      <w:r>
        <w:rPr>
          <w:color w:val="000000"/>
        </w:rPr>
        <w:t>”</w:t>
      </w:r>
      <w:r>
        <w:rPr>
          <w:color w:val="000000"/>
        </w:rPr>
        <w:t>的融合接口，应完整说明这些方程和标定程序。</w:t>
      </w:r>
    </w:p>
    <w:p w14:paraId="1DC87D32"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给出分工况误差矩表、在线更新</w:t>
      </w:r>
      <w:r>
        <w:rPr>
          <w:color w:val="000000"/>
        </w:rPr>
        <w:t>/</w:t>
      </w:r>
      <w:r>
        <w:rPr>
          <w:color w:val="000000"/>
        </w:rPr>
        <w:t>修正规则、边界、单位及标定数据划分；用算法框图或伪代码串起输入、门控、协方差和输出。</w:t>
      </w:r>
    </w:p>
    <w:p w14:paraId="2F77BAB6" w14:textId="77777777" w:rsidR="008C5520" w:rsidRDefault="00BE5E16">
      <w:pPr>
        <w:pStyle w:val="3"/>
        <w:spacing w:before="160" w:after="120"/>
        <w:rPr>
          <w:rFonts w:hint="eastAsia"/>
        </w:rPr>
      </w:pPr>
      <w:r>
        <w:t>主要意见</w:t>
      </w:r>
      <w:r>
        <w:t xml:space="preserve"> 19</w:t>
      </w:r>
    </w:p>
    <w:p w14:paraId="1F429FE7"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III-D </w:t>
      </w:r>
      <w:r>
        <w:rPr>
          <w:color w:val="000000"/>
        </w:rPr>
        <w:t>节的融合逻辑包含大量经验阈值：有用性</w:t>
      </w:r>
      <w:r>
        <w:rPr>
          <w:color w:val="000000"/>
        </w:rPr>
        <w:t xml:space="preserve"> 0.6</w:t>
      </w:r>
      <w:r>
        <w:rPr>
          <w:color w:val="000000"/>
        </w:rPr>
        <w:t>、坡度进入</w:t>
      </w:r>
      <w:r>
        <w:rPr>
          <w:color w:val="000000"/>
        </w:rPr>
        <w:t>/</w:t>
      </w:r>
      <w:r>
        <w:rPr>
          <w:color w:val="000000"/>
        </w:rPr>
        <w:t>退出</w:t>
      </w:r>
      <w:r>
        <w:rPr>
          <w:color w:val="000000"/>
        </w:rPr>
        <w:t xml:space="preserve"> 0.5°/0.3°</w:t>
      </w:r>
      <w:r>
        <w:rPr>
          <w:color w:val="000000"/>
        </w:rPr>
        <w:t>、最小创新</w:t>
      </w:r>
      <w:r>
        <w:rPr>
          <w:color w:val="000000"/>
        </w:rPr>
        <w:t xml:space="preserve"> 0.25°</w:t>
      </w:r>
      <w:r>
        <w:rPr>
          <w:color w:val="000000"/>
        </w:rPr>
        <w:t>、创新门限</w:t>
      </w:r>
      <w:r>
        <w:rPr>
          <w:color w:val="000000"/>
        </w:rPr>
        <w:t xml:space="preserve"> 2°</w:t>
      </w:r>
      <w:r>
        <w:rPr>
          <w:color w:val="000000"/>
        </w:rPr>
        <w:t>、</w:t>
      </w:r>
      <w:r>
        <w:rPr>
          <w:color w:val="000000"/>
        </w:rPr>
        <w:t xml:space="preserve">NIS </w:t>
      </w:r>
      <w:r>
        <w:rPr>
          <w:color w:val="000000"/>
        </w:rPr>
        <w:t>阈值</w:t>
      </w:r>
      <w:r>
        <w:rPr>
          <w:color w:val="000000"/>
        </w:rPr>
        <w:t xml:space="preserve"> 9/25</w:t>
      </w:r>
      <w:r>
        <w:rPr>
          <w:color w:val="000000"/>
        </w:rPr>
        <w:t>、修正上限</w:t>
      </w:r>
      <w:r>
        <w:rPr>
          <w:color w:val="000000"/>
        </w:rPr>
        <w:t xml:space="preserve"> 0.5°</w:t>
      </w:r>
      <w:r>
        <w:rPr>
          <w:color w:val="000000"/>
        </w:rPr>
        <w:t>、变化率上限</w:t>
      </w:r>
      <w:r>
        <w:rPr>
          <w:color w:val="000000"/>
        </w:rPr>
        <w:t xml:space="preserve"> 5°/s</w:t>
      </w:r>
      <w:r>
        <w:rPr>
          <w:color w:val="000000"/>
        </w:rPr>
        <w:t>、调度死区</w:t>
      </w:r>
      <w:r>
        <w:rPr>
          <w:color w:val="000000"/>
        </w:rPr>
        <w:t xml:space="preserve"> 1.3°</w:t>
      </w:r>
      <w:r>
        <w:rPr>
          <w:color w:val="000000"/>
        </w:rPr>
        <w:t>。论文没有提供这些选择的敏感性或鲁棒性分析。尤其是式（</w:t>
      </w:r>
      <w:r>
        <w:rPr>
          <w:color w:val="000000"/>
        </w:rPr>
        <w:t>32</w:t>
      </w:r>
      <w:r>
        <w:rPr>
          <w:color w:val="000000"/>
        </w:rPr>
        <w:t>）在</w:t>
      </w:r>
      <w:r>
        <w:rPr>
          <w:color w:val="000000"/>
        </w:rPr>
        <w:t xml:space="preserve"> NIS = 25 </w:t>
      </w:r>
      <w:r>
        <w:rPr>
          <w:color w:val="000000"/>
        </w:rPr>
        <w:t>附近产生不连续：阈值以下仍有非零降权修正，阈值以上立即变为零。应论证这些阈值，并证明结论不依赖人工调参。</w:t>
      </w:r>
    </w:p>
    <w:p w14:paraId="59FD14D8"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建立阈值来源表并做单因素</w:t>
      </w:r>
      <w:r>
        <w:rPr>
          <w:color w:val="000000"/>
        </w:rPr>
        <w:t>/</w:t>
      </w:r>
      <w:r>
        <w:rPr>
          <w:color w:val="000000"/>
        </w:rPr>
        <w:t>组合敏感性分析；特别比较硬切换与连续衰减函数，报告对坡度误差、跟踪误差、输入平滑度和门控频率的影响。</w:t>
      </w:r>
    </w:p>
    <w:p w14:paraId="5D157796" w14:textId="77777777" w:rsidR="008C5520" w:rsidRDefault="00BE5E16">
      <w:pPr>
        <w:pStyle w:val="3"/>
        <w:spacing w:before="160" w:after="120"/>
        <w:rPr>
          <w:rFonts w:hint="eastAsia"/>
        </w:rPr>
      </w:pPr>
      <w:r>
        <w:t>主要意见</w:t>
      </w:r>
      <w:r>
        <w:t xml:space="preserve"> 20</w:t>
      </w:r>
    </w:p>
    <w:p w14:paraId="1B999C85"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w:t>
      </w:r>
      <w:r>
        <w:rPr>
          <w:color w:val="000000"/>
        </w:rPr>
        <w:t>精确回退到主估计值</w:t>
      </w:r>
      <w:r>
        <w:rPr>
          <w:color w:val="000000"/>
        </w:rPr>
        <w:t>”</w:t>
      </w:r>
      <w:r>
        <w:rPr>
          <w:color w:val="000000"/>
        </w:rPr>
        <w:t>这一表述需要更谨慎地定义。式（</w:t>
      </w:r>
      <w:r>
        <w:rPr>
          <w:color w:val="000000"/>
        </w:rPr>
        <w:t>33</w:t>
      </w:r>
      <w:r>
        <w:rPr>
          <w:color w:val="000000"/>
        </w:rPr>
        <w:t>）确实在门控失败时令融合估计等于</w:t>
      </w:r>
      <w:r>
        <w:rPr>
          <w:color w:val="000000"/>
        </w:rPr>
        <w:t xml:space="preserve"> ModernTCN </w:t>
      </w:r>
      <w:r>
        <w:rPr>
          <w:color w:val="000000"/>
        </w:rPr>
        <w:t>估计，但该信号随后还经过</w:t>
      </w:r>
      <w:r>
        <w:rPr>
          <w:color w:val="000000"/>
        </w:rPr>
        <w:t xml:space="preserve"> 1.3° </w:t>
      </w:r>
      <w:r>
        <w:rPr>
          <w:color w:val="000000"/>
        </w:rPr>
        <w:t>死区、幅值裁剪以及式（</w:t>
      </w:r>
      <w:r>
        <w:rPr>
          <w:color w:val="000000"/>
        </w:rPr>
        <w:t>34</w:t>
      </w:r>
      <w:r>
        <w:rPr>
          <w:color w:val="000000"/>
        </w:rPr>
        <w:t>）的调度滤波。因此，最终送入控制器的</w:t>
      </w:r>
      <w:r>
        <w:rPr>
          <w:color w:val="000000"/>
        </w:rPr>
        <w:t xml:space="preserve"> θ_sch </w:t>
      </w:r>
      <w:r>
        <w:rPr>
          <w:color w:val="000000"/>
        </w:rPr>
        <w:t>不一定与原始或部署滤波后的</w:t>
      </w:r>
      <w:r>
        <w:rPr>
          <w:color w:val="000000"/>
        </w:rPr>
        <w:t xml:space="preserve"> ModernTCN </w:t>
      </w:r>
      <w:r>
        <w:rPr>
          <w:color w:val="000000"/>
        </w:rPr>
        <w:t>估计完全相同。论文应区分</w:t>
      </w:r>
      <w:r>
        <w:rPr>
          <w:color w:val="000000"/>
        </w:rPr>
        <w:t>“</w:t>
      </w:r>
      <w:r>
        <w:rPr>
          <w:color w:val="000000"/>
        </w:rPr>
        <w:t>融合阶段的精确回退</w:t>
      </w:r>
      <w:r>
        <w:rPr>
          <w:color w:val="000000"/>
        </w:rPr>
        <w:t>”</w:t>
      </w:r>
      <w:r>
        <w:rPr>
          <w:color w:val="000000"/>
        </w:rPr>
        <w:t>与</w:t>
      </w:r>
      <w:r>
        <w:rPr>
          <w:color w:val="000000"/>
        </w:rPr>
        <w:t>“</w:t>
      </w:r>
      <w:r>
        <w:rPr>
          <w:color w:val="000000"/>
        </w:rPr>
        <w:t>最终调理后的调度信号</w:t>
      </w:r>
      <w:r>
        <w:rPr>
          <w:color w:val="000000"/>
        </w:rPr>
        <w:t>”</w:t>
      </w:r>
      <w:r>
        <w:rPr>
          <w:color w:val="000000"/>
        </w:rPr>
        <w:t>。</w:t>
      </w:r>
    </w:p>
    <w:p w14:paraId="6F166AC9"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统一术语并绘制信号链：主估计</w:t>
      </w:r>
      <w:r>
        <w:rPr>
          <w:color w:val="000000"/>
        </w:rPr>
        <w:t>→</w:t>
      </w:r>
      <w:r>
        <w:rPr>
          <w:color w:val="000000"/>
        </w:rPr>
        <w:t>融合输出</w:t>
      </w:r>
      <w:r>
        <w:rPr>
          <w:color w:val="000000"/>
        </w:rPr>
        <w:t>→</w:t>
      </w:r>
      <w:r>
        <w:rPr>
          <w:color w:val="000000"/>
        </w:rPr>
        <w:t>死区</w:t>
      </w:r>
      <w:r>
        <w:rPr>
          <w:color w:val="000000"/>
        </w:rPr>
        <w:t>/</w:t>
      </w:r>
      <w:r>
        <w:rPr>
          <w:color w:val="000000"/>
        </w:rPr>
        <w:t>裁剪</w:t>
      </w:r>
      <w:r>
        <w:rPr>
          <w:color w:val="000000"/>
        </w:rPr>
        <w:t>→</w:t>
      </w:r>
      <w:r>
        <w:rPr>
          <w:color w:val="000000"/>
        </w:rPr>
        <w:t>调度滤波</w:t>
      </w:r>
      <w:r>
        <w:rPr>
          <w:color w:val="000000"/>
        </w:rPr>
        <w:t>→θ_sch</w:t>
      </w:r>
      <w:r>
        <w:rPr>
          <w:color w:val="000000"/>
        </w:rPr>
        <w:t>；只在融合节点使用</w:t>
      </w:r>
      <w:r>
        <w:rPr>
          <w:color w:val="000000"/>
        </w:rPr>
        <w:t xml:space="preserve"> exact fallback</w:t>
      </w:r>
      <w:r>
        <w:rPr>
          <w:color w:val="000000"/>
        </w:rPr>
        <w:t>。</w:t>
      </w:r>
    </w:p>
    <w:p w14:paraId="4A0BA45E" w14:textId="77777777" w:rsidR="008C5520" w:rsidRDefault="00BE5E16">
      <w:pPr>
        <w:pStyle w:val="3"/>
        <w:spacing w:before="160" w:after="120"/>
        <w:rPr>
          <w:rFonts w:hint="eastAsia"/>
        </w:rPr>
      </w:pPr>
      <w:r>
        <w:t>主要意见</w:t>
      </w:r>
      <w:r>
        <w:t xml:space="preserve"> 21</w:t>
      </w:r>
    </w:p>
    <w:p w14:paraId="3BAD9406"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III-E </w:t>
      </w:r>
      <w:r>
        <w:rPr>
          <w:color w:val="000000"/>
        </w:rPr>
        <w:t>节中，坡度同时作为调度变量和测量扰动，其作用需要更清楚的推导以排除重复计入。式（</w:t>
      </w:r>
      <w:r>
        <w:rPr>
          <w:color w:val="000000"/>
        </w:rPr>
        <w:t>38</w:t>
      </w:r>
      <w:r>
        <w:rPr>
          <w:color w:val="000000"/>
        </w:rPr>
        <w:t>）用</w:t>
      </w:r>
      <w:r>
        <w:rPr>
          <w:color w:val="000000"/>
        </w:rPr>
        <w:t xml:space="preserve"> θ_sch </w:t>
      </w:r>
      <w:r>
        <w:rPr>
          <w:color w:val="000000"/>
        </w:rPr>
        <w:t>调度</w:t>
      </w:r>
      <w:r>
        <w:rPr>
          <w:color w:val="000000"/>
        </w:rPr>
        <w:t xml:space="preserve"> A_d</w:t>
      </w:r>
      <w:r>
        <w:rPr>
          <w:color w:val="000000"/>
        </w:rPr>
        <w:t>、</w:t>
      </w:r>
      <w:r>
        <w:rPr>
          <w:color w:val="000000"/>
        </w:rPr>
        <w:t>B_d</w:t>
      </w:r>
      <w:r>
        <w:rPr>
          <w:color w:val="000000"/>
        </w:rPr>
        <w:t>、</w:t>
      </w:r>
      <w:r>
        <w:rPr>
          <w:color w:val="000000"/>
        </w:rPr>
        <w:t>E_d</w:t>
      </w:r>
      <w:r>
        <w:rPr>
          <w:color w:val="000000"/>
        </w:rPr>
        <w:t>；式（</w:t>
      </w:r>
      <w:r>
        <w:rPr>
          <w:color w:val="000000"/>
        </w:rPr>
        <w:t>43</w:t>
      </w:r>
      <w:r>
        <w:rPr>
          <w:color w:val="000000"/>
        </w:rPr>
        <w:t>）又通过</w:t>
      </w:r>
      <w:r>
        <w:rPr>
          <w:color w:val="000000"/>
        </w:rPr>
        <w:t xml:space="preserve"> E_d </w:t>
      </w:r>
      <w:r>
        <w:rPr>
          <w:color w:val="000000"/>
        </w:rPr>
        <w:t>引入坡度偏差通道；式（</w:t>
      </w:r>
      <w:r>
        <w:rPr>
          <w:color w:val="000000"/>
        </w:rPr>
        <w:t>41</w:t>
      </w:r>
      <w:r>
        <w:rPr>
          <w:color w:val="000000"/>
        </w:rPr>
        <w:t>）和式（</w:t>
      </w:r>
      <w:r>
        <w:rPr>
          <w:color w:val="000000"/>
        </w:rPr>
        <w:t>45</w:t>
      </w:r>
      <w:r>
        <w:rPr>
          <w:color w:val="000000"/>
        </w:rPr>
        <w:t>）还加入坡度相关前馈。作者应明确在线使用的工作点坡度值</w:t>
      </w:r>
      <w:r>
        <w:rPr>
          <w:color w:val="000000"/>
        </w:rPr>
        <w:t xml:space="preserve"> θ̄</w:t>
      </w:r>
      <w:r>
        <w:rPr>
          <w:color w:val="000000"/>
        </w:rPr>
        <w:t>，并从代数上说明扰动偏差、调度插值和前馈项如何组合而不会重复表示同一坡度效应。</w:t>
      </w:r>
    </w:p>
    <w:p w14:paraId="0D1476E9"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从非线性模型、工作点和增量模型开始重推；明确</w:t>
      </w:r>
      <w:r>
        <w:rPr>
          <w:color w:val="000000"/>
        </w:rPr>
        <w:t xml:space="preserve"> θ</w:t>
      </w:r>
      <w:r>
        <w:rPr>
          <w:color w:val="000000"/>
        </w:rPr>
        <w:t>、</w:t>
      </w:r>
      <w:r>
        <w:rPr>
          <w:color w:val="000000"/>
        </w:rPr>
        <w:t>θ̄</w:t>
      </w:r>
      <w:r>
        <w:rPr>
          <w:color w:val="000000"/>
        </w:rPr>
        <w:t>、</w:t>
      </w:r>
      <w:r>
        <w:rPr>
          <w:color w:val="000000"/>
        </w:rPr>
        <w:lastRenderedPageBreak/>
        <w:t>Δθ</w:t>
      </w:r>
      <w:r>
        <w:rPr>
          <w:color w:val="000000"/>
        </w:rPr>
        <w:t>、</w:t>
      </w:r>
      <w:r>
        <w:rPr>
          <w:color w:val="000000"/>
        </w:rPr>
        <w:t xml:space="preserve">θ_sch </w:t>
      </w:r>
      <w:r>
        <w:rPr>
          <w:color w:val="000000"/>
        </w:rPr>
        <w:t>与前馈的定义和进入位置，用一个数值工作点验证各项合成后等价且无重复。</w:t>
      </w:r>
    </w:p>
    <w:p w14:paraId="65227C1E" w14:textId="77777777" w:rsidR="008C5520" w:rsidRDefault="00BE5E16">
      <w:pPr>
        <w:pStyle w:val="3"/>
        <w:spacing w:before="160" w:after="120"/>
        <w:rPr>
          <w:rFonts w:hint="eastAsia"/>
        </w:rPr>
      </w:pPr>
      <w:r>
        <w:t>主要意见</w:t>
      </w:r>
      <w:r>
        <w:t xml:space="preserve"> 22</w:t>
      </w:r>
    </w:p>
    <w:p w14:paraId="770082EE"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III-E </w:t>
      </w:r>
      <w:r>
        <w:rPr>
          <w:color w:val="000000"/>
        </w:rPr>
        <w:t>节在路径误差状态与</w:t>
      </w:r>
      <w:r>
        <w:rPr>
          <w:color w:val="000000"/>
        </w:rPr>
        <w:t xml:space="preserve"> MPC </w:t>
      </w:r>
      <w:r>
        <w:rPr>
          <w:color w:val="000000"/>
        </w:rPr>
        <w:t>参考量之间存在符号</w:t>
      </w:r>
      <w:r>
        <w:rPr>
          <w:color w:val="000000"/>
        </w:rPr>
        <w:t>/</w:t>
      </w:r>
      <w:r>
        <w:rPr>
          <w:color w:val="000000"/>
        </w:rPr>
        <w:t>解释歧义。式（</w:t>
      </w:r>
      <w:r>
        <w:rPr>
          <w:color w:val="000000"/>
        </w:rPr>
        <w:t>35</w:t>
      </w:r>
      <w:r>
        <w:rPr>
          <w:color w:val="000000"/>
        </w:rPr>
        <w:t>）把</w:t>
      </w:r>
      <w:r>
        <w:rPr>
          <w:color w:val="000000"/>
        </w:rPr>
        <w:t xml:space="preserve"> x_e </w:t>
      </w:r>
      <w:r>
        <w:rPr>
          <w:color w:val="000000"/>
        </w:rPr>
        <w:t>全部定义为跟踪误差，式（</w:t>
      </w:r>
      <w:r>
        <w:rPr>
          <w:color w:val="000000"/>
        </w:rPr>
        <w:t>38</w:t>
      </w:r>
      <w:r>
        <w:rPr>
          <w:color w:val="000000"/>
        </w:rPr>
        <w:t>）使用</w:t>
      </w:r>
      <w:r>
        <w:rPr>
          <w:color w:val="000000"/>
        </w:rPr>
        <w:t xml:space="preserve"> C_d = I_4</w:t>
      </w:r>
      <w:r>
        <w:rPr>
          <w:color w:val="000000"/>
        </w:rPr>
        <w:t>，但式（</w:t>
      </w:r>
      <w:r>
        <w:rPr>
          <w:color w:val="000000"/>
        </w:rPr>
        <w:t>46</w:t>
      </w:r>
      <w:r>
        <w:rPr>
          <w:color w:val="000000"/>
        </w:rPr>
        <w:t>）惩罚</w:t>
      </w:r>
      <w:r>
        <w:rPr>
          <w:color w:val="000000"/>
        </w:rPr>
        <w:t xml:space="preserve"> y_{k+i|k} − y_ref_{k+i}</w:t>
      </w:r>
      <w:r>
        <w:rPr>
          <w:color w:val="000000"/>
        </w:rPr>
        <w:t>。若</w:t>
      </w:r>
      <w:r>
        <w:rPr>
          <w:color w:val="000000"/>
        </w:rPr>
        <w:t xml:space="preserve"> y </w:t>
      </w:r>
      <w:r>
        <w:rPr>
          <w:color w:val="000000"/>
        </w:rPr>
        <w:t>已经是误差向量，自然参考值应为零。作者应明确定义</w:t>
      </w:r>
      <w:r>
        <w:rPr>
          <w:color w:val="000000"/>
        </w:rPr>
        <w:t xml:space="preserve"> y_ref</w:t>
      </w:r>
      <w:r>
        <w:rPr>
          <w:color w:val="000000"/>
        </w:rPr>
        <w:t>，并保证代价函数与误差状态建模一致。</w:t>
      </w:r>
    </w:p>
    <w:p w14:paraId="69ABE43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明确绝对状态、误差状态、输出与参考量的维数和含义；若采用误差模型，将</w:t>
      </w:r>
      <w:r>
        <w:rPr>
          <w:color w:val="000000"/>
        </w:rPr>
        <w:t xml:space="preserve"> y_ref </w:t>
      </w:r>
      <w:r>
        <w:rPr>
          <w:color w:val="000000"/>
        </w:rPr>
        <w:t>设为零并统一公式</w:t>
      </w:r>
      <w:r>
        <w:rPr>
          <w:color w:val="000000"/>
        </w:rPr>
        <w:t>/</w:t>
      </w:r>
      <w:r>
        <w:rPr>
          <w:color w:val="000000"/>
        </w:rPr>
        <w:t>代码。</w:t>
      </w:r>
    </w:p>
    <w:p w14:paraId="025EE049" w14:textId="77777777" w:rsidR="008C5520" w:rsidRDefault="00BE5E16">
      <w:pPr>
        <w:pStyle w:val="3"/>
        <w:spacing w:before="160" w:after="120"/>
        <w:rPr>
          <w:rFonts w:hint="eastAsia"/>
        </w:rPr>
      </w:pPr>
      <w:r>
        <w:t>主要意见</w:t>
      </w:r>
      <w:r>
        <w:t xml:space="preserve"> 23</w:t>
      </w:r>
    </w:p>
    <w:p w14:paraId="0CCEFCE1"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III-E </w:t>
      </w:r>
      <w:r>
        <w:rPr>
          <w:color w:val="000000"/>
        </w:rPr>
        <w:t>节采用</w:t>
      </w:r>
      <w:r>
        <w:rPr>
          <w:color w:val="000000"/>
        </w:rPr>
        <w:t xml:space="preserve"> 4125 </w:t>
      </w:r>
      <w:r>
        <w:rPr>
          <w:color w:val="000000"/>
        </w:rPr>
        <w:t>个局部模型间的三线性插值、预测时域内冻结调度、坡度相关权重</w:t>
      </w:r>
      <w:r>
        <w:rPr>
          <w:color w:val="000000"/>
        </w:rPr>
        <w:t>/</w:t>
      </w:r>
      <w:r>
        <w:rPr>
          <w:color w:val="000000"/>
        </w:rPr>
        <w:t>约束调度和软输出约束，却没有递归可行性或闭环稳定性分析。至少应讨论插值与调度变化率对可行性和有界性的影响，报告约束违反统计，并在没有正式结果时避免使用稳定性语言。</w:t>
      </w:r>
    </w:p>
    <w:p w14:paraId="7BC80B98"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补充软</w:t>
      </w:r>
      <w:r>
        <w:rPr>
          <w:color w:val="000000"/>
        </w:rPr>
        <w:t>/</w:t>
      </w:r>
      <w:r>
        <w:rPr>
          <w:color w:val="000000"/>
        </w:rPr>
        <w:t>硬约束违反次数、幅度、松弛变量、</w:t>
      </w:r>
      <w:r>
        <w:rPr>
          <w:color w:val="000000"/>
        </w:rPr>
        <w:t xml:space="preserve">QP </w:t>
      </w:r>
      <w:r>
        <w:rPr>
          <w:color w:val="000000"/>
        </w:rPr>
        <w:t>状态及最坏路线；讨论冻结调度误差。无法补理论时，严格收缩结论边界。</w:t>
      </w:r>
    </w:p>
    <w:p w14:paraId="4471BE78" w14:textId="77777777" w:rsidR="008C5520" w:rsidRDefault="00BE5E16">
      <w:pPr>
        <w:pStyle w:val="3"/>
        <w:spacing w:before="160" w:after="120"/>
        <w:rPr>
          <w:rFonts w:hint="eastAsia"/>
        </w:rPr>
      </w:pPr>
      <w:r>
        <w:t>主要意见</w:t>
      </w:r>
      <w:r>
        <w:t xml:space="preserve"> 24</w:t>
      </w:r>
    </w:p>
    <w:p w14:paraId="5AA4E0AD"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表</w:t>
      </w:r>
      <w:r>
        <w:rPr>
          <w:color w:val="000000"/>
        </w:rPr>
        <w:t xml:space="preserve"> 4 </w:t>
      </w:r>
      <w:r>
        <w:rPr>
          <w:color w:val="000000"/>
        </w:rPr>
        <w:t>和第</w:t>
      </w:r>
      <w:r>
        <w:rPr>
          <w:color w:val="000000"/>
        </w:rPr>
        <w:t xml:space="preserve"> III-E </w:t>
      </w:r>
      <w:r>
        <w:rPr>
          <w:color w:val="000000"/>
        </w:rPr>
        <w:t>节中的输入限制内部不一致：</w:t>
      </w:r>
      <w:r>
        <w:rPr>
          <w:color w:val="000000"/>
        </w:rPr>
        <w:t xml:space="preserve">F_cmd </w:t>
      </w:r>
      <w:r>
        <w:rPr>
          <w:color w:val="000000"/>
        </w:rPr>
        <w:t>的输入约束为</w:t>
      </w:r>
      <w:r>
        <w:rPr>
          <w:color w:val="000000"/>
        </w:rPr>
        <w:t xml:space="preserve"> [−600,600] N</w:t>
      </w:r>
      <w:r>
        <w:rPr>
          <w:color w:val="000000"/>
        </w:rPr>
        <w:t>，但</w:t>
      </w:r>
      <w:r>
        <w:rPr>
          <w:color w:val="000000"/>
        </w:rPr>
        <w:t>“</w:t>
      </w:r>
      <w:r>
        <w:rPr>
          <w:color w:val="000000"/>
        </w:rPr>
        <w:t>在线包络</w:t>
      </w:r>
      <w:r>
        <w:rPr>
          <w:color w:val="000000"/>
        </w:rPr>
        <w:t>”</w:t>
      </w:r>
      <w:r>
        <w:rPr>
          <w:color w:val="000000"/>
        </w:rPr>
        <w:t>为</w:t>
      </w:r>
      <w:r>
        <w:rPr>
          <w:color w:val="000000"/>
        </w:rPr>
        <w:t xml:space="preserve"> [−720,720] N</w:t>
      </w:r>
      <w:r>
        <w:rPr>
          <w:color w:val="000000"/>
        </w:rPr>
        <w:t>；类似地，</w:t>
      </w:r>
      <w:r>
        <w:rPr>
          <w:color w:val="000000"/>
        </w:rPr>
        <w:t xml:space="preserve">ω_cmd </w:t>
      </w:r>
      <w:r>
        <w:rPr>
          <w:color w:val="000000"/>
        </w:rPr>
        <w:t>为</w:t>
      </w:r>
      <w:r>
        <w:rPr>
          <w:color w:val="000000"/>
        </w:rPr>
        <w:t xml:space="preserve"> [−1.2,1.2] rad/s</w:t>
      </w:r>
      <w:r>
        <w:rPr>
          <w:color w:val="000000"/>
        </w:rPr>
        <w:t>，而在线包络为</w:t>
      </w:r>
      <w:r>
        <w:rPr>
          <w:color w:val="000000"/>
        </w:rPr>
        <w:t xml:space="preserve"> [−1.44,1.44] rad/s</w:t>
      </w:r>
      <w:r>
        <w:rPr>
          <w:color w:val="000000"/>
        </w:rPr>
        <w:t>。哪些是硬物理限制、哪些是调度限制并不清楚。必须无歧义地说明被控对象饱和、</w:t>
      </w:r>
      <w:r>
        <w:rPr>
          <w:color w:val="000000"/>
        </w:rPr>
        <w:t xml:space="preserve">MPC </w:t>
      </w:r>
      <w:r>
        <w:rPr>
          <w:color w:val="000000"/>
        </w:rPr>
        <w:t>硬边界和调度包络之间的层级关系。</w:t>
      </w:r>
    </w:p>
    <w:p w14:paraId="024C39F3"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建立单一约束层级表并核对代码：物理执行器极限、控制器硬约束、坡度调度包络、软约束和最终饱和器；解释为何在线包络可大于表中限值，或修正不一致。</w:t>
      </w:r>
    </w:p>
    <w:p w14:paraId="4157BE5F" w14:textId="77777777" w:rsidR="008C5520" w:rsidRDefault="00BE5E16">
      <w:pPr>
        <w:pStyle w:val="3"/>
        <w:spacing w:before="160" w:after="120"/>
        <w:rPr>
          <w:rFonts w:hint="eastAsia"/>
        </w:rPr>
      </w:pPr>
      <w:r>
        <w:t>主要意见</w:t>
      </w:r>
      <w:r>
        <w:t xml:space="preserve"> 25</w:t>
      </w:r>
    </w:p>
    <w:p w14:paraId="5E2F2AF6"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IV-C </w:t>
      </w:r>
      <w:r>
        <w:rPr>
          <w:color w:val="000000"/>
        </w:rPr>
        <w:t>节和算法</w:t>
      </w:r>
      <w:r>
        <w:rPr>
          <w:color w:val="000000"/>
        </w:rPr>
        <w:t xml:space="preserve"> 2 </w:t>
      </w:r>
      <w:r>
        <w:rPr>
          <w:color w:val="000000"/>
        </w:rPr>
        <w:t>的划分是运行实例互斥，但看起来不是模板互斥。</w:t>
      </w:r>
      <w:r>
        <w:rPr>
          <w:color w:val="000000"/>
        </w:rPr>
        <w:t xml:space="preserve">102 </w:t>
      </w:r>
      <w:r>
        <w:rPr>
          <w:color w:val="000000"/>
        </w:rPr>
        <w:t>次运行来自</w:t>
      </w:r>
      <w:r>
        <w:rPr>
          <w:color w:val="000000"/>
        </w:rPr>
        <w:t xml:space="preserve"> 51 </w:t>
      </w:r>
      <w:r>
        <w:rPr>
          <w:color w:val="000000"/>
        </w:rPr>
        <w:t>个路线模板，每个模板有两个实现，算法按运行标识符划分为</w:t>
      </w:r>
      <w:r>
        <w:rPr>
          <w:color w:val="000000"/>
        </w:rPr>
        <w:t xml:space="preserve"> 71/15/16</w:t>
      </w:r>
      <w:r>
        <w:rPr>
          <w:color w:val="000000"/>
        </w:rPr>
        <w:t>。若同一模板的两个实现可进入不同集合，则测试集在结构上并不独立于训练集。应采用模板级划分，或证明训练、验证和测试集之间的模板标识也彼此互斥。</w:t>
      </w:r>
    </w:p>
    <w:p w14:paraId="52901827"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重做为</w:t>
      </w:r>
      <w:r>
        <w:rPr>
          <w:color w:val="000000"/>
        </w:rPr>
        <w:t xml:space="preserve"> group split</w:t>
      </w:r>
      <w:r>
        <w:rPr>
          <w:color w:val="000000"/>
        </w:rPr>
        <w:t>，并把</w:t>
      </w:r>
      <w:r>
        <w:rPr>
          <w:color w:val="000000"/>
        </w:rPr>
        <w:t xml:space="preserve"> 51 </w:t>
      </w:r>
      <w:r>
        <w:rPr>
          <w:color w:val="000000"/>
        </w:rPr>
        <w:t>个模板的分配作为可复核材料；必要时重新训练全部种子和更新所有统计表。</w:t>
      </w:r>
    </w:p>
    <w:p w14:paraId="7CFB6283" w14:textId="77777777" w:rsidR="008C5520" w:rsidRDefault="00BE5E16">
      <w:pPr>
        <w:pStyle w:val="3"/>
        <w:spacing w:before="160" w:after="120"/>
        <w:rPr>
          <w:rFonts w:hint="eastAsia"/>
        </w:rPr>
      </w:pPr>
      <w:r>
        <w:t>主要意见</w:t>
      </w:r>
      <w:r>
        <w:t xml:space="preserve"> 26</w:t>
      </w:r>
    </w:p>
    <w:p w14:paraId="52FF2D55"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IV </w:t>
      </w:r>
      <w:r>
        <w:rPr>
          <w:color w:val="000000"/>
        </w:rPr>
        <w:t>节把论文表述为</w:t>
      </w:r>
      <w:r>
        <w:rPr>
          <w:color w:val="000000"/>
        </w:rPr>
        <w:t xml:space="preserve"> AGV </w:t>
      </w:r>
      <w:r>
        <w:rPr>
          <w:color w:val="000000"/>
        </w:rPr>
        <w:t>控制</w:t>
      </w:r>
      <w:r>
        <w:rPr>
          <w:color w:val="000000"/>
        </w:rPr>
        <w:t>/</w:t>
      </w:r>
      <w:r>
        <w:rPr>
          <w:color w:val="000000"/>
        </w:rPr>
        <w:t>感知研究，但所有训练与评估证据都是合成的，因此</w:t>
      </w:r>
      <w:r>
        <w:rPr>
          <w:color w:val="000000"/>
        </w:rPr>
        <w:t>“Experimental Setup</w:t>
      </w:r>
      <w:r>
        <w:rPr>
          <w:color w:val="000000"/>
        </w:rPr>
        <w:t>（实验设置）</w:t>
      </w:r>
      <w:r>
        <w:rPr>
          <w:color w:val="000000"/>
        </w:rPr>
        <w:t>”</w:t>
      </w:r>
      <w:r>
        <w:rPr>
          <w:color w:val="000000"/>
        </w:rPr>
        <w:t>这一标题可能具有误导性。更重要的是，论文没有硬件在环或实车验证。至少应加入包含现实参数不确定性、传感器偏置</w:t>
      </w:r>
      <w:r>
        <w:rPr>
          <w:color w:val="000000"/>
        </w:rPr>
        <w:t>/</w:t>
      </w:r>
      <w:r>
        <w:rPr>
          <w:color w:val="000000"/>
        </w:rPr>
        <w:t>噪声、扰动及未见路线</w:t>
      </w:r>
      <w:r>
        <w:rPr>
          <w:color w:val="000000"/>
        </w:rPr>
        <w:t>/</w:t>
      </w:r>
      <w:r>
        <w:rPr>
          <w:color w:val="000000"/>
        </w:rPr>
        <w:t>载荷条件的域差异压力测试；否则，论文主张应限定为仿真。</w:t>
      </w:r>
    </w:p>
    <w:p w14:paraId="227AE588"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将标题改为</w:t>
      </w:r>
      <w:r>
        <w:rPr>
          <w:color w:val="000000"/>
        </w:rPr>
        <w:t xml:space="preserve"> Simulation Setup/Simulation Study</w:t>
      </w:r>
      <w:r>
        <w:rPr>
          <w:color w:val="000000"/>
        </w:rPr>
        <w:t>（如无硬</w:t>
      </w:r>
      <w:r>
        <w:rPr>
          <w:color w:val="000000"/>
        </w:rPr>
        <w:lastRenderedPageBreak/>
        <w:t>件实验），并增加域差异压力测试；摘要、结果、讨论和结论统一声明证据层级。</w:t>
      </w:r>
    </w:p>
    <w:p w14:paraId="5FC4491A" w14:textId="77777777" w:rsidR="008C5520" w:rsidRDefault="00BE5E16">
      <w:pPr>
        <w:pStyle w:val="3"/>
        <w:spacing w:before="160" w:after="120"/>
        <w:rPr>
          <w:rFonts w:hint="eastAsia"/>
        </w:rPr>
      </w:pPr>
      <w:r>
        <w:t>主要意见</w:t>
      </w:r>
      <w:r>
        <w:t xml:space="preserve"> 27</w:t>
      </w:r>
    </w:p>
    <w:p w14:paraId="08355B37"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IV-F </w:t>
      </w:r>
      <w:r>
        <w:rPr>
          <w:color w:val="000000"/>
        </w:rPr>
        <w:t>节的统计解释需要修订。</w:t>
      </w:r>
      <w:r>
        <w:rPr>
          <w:color w:val="000000"/>
        </w:rPr>
        <w:t xml:space="preserve">10 </w:t>
      </w:r>
      <w:r>
        <w:rPr>
          <w:color w:val="000000"/>
        </w:rPr>
        <w:t>个神经网络随机种子是在同一数据集上的重复训练实现，并不是来自部署总体的独立样本；闭环基准也只有</w:t>
      </w:r>
      <w:r>
        <w:rPr>
          <w:color w:val="000000"/>
        </w:rPr>
        <w:t xml:space="preserve"> 6 </w:t>
      </w:r>
      <w:r>
        <w:rPr>
          <w:color w:val="000000"/>
        </w:rPr>
        <w:t>种路线几何。基于种子的</w:t>
      </w:r>
      <w:r>
        <w:rPr>
          <w:color w:val="000000"/>
        </w:rPr>
        <w:t xml:space="preserve"> bootstrap </w:t>
      </w:r>
      <w:r>
        <w:rPr>
          <w:color w:val="000000"/>
        </w:rPr>
        <w:t>置信区间（或先按种子分层的重采样）主要量化这些特定仿真路线下的训练随机性，而不是对新路线或实车的泛化能力。应重新表述统计主张；如可能，应以独立生成的路线模板作为统计单位扩展分析。</w:t>
      </w:r>
    </w:p>
    <w:p w14:paraId="01F90E9F"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把统计单位、层级和可推广总体写清楚；新增独立路线模板并按路线</w:t>
      </w:r>
      <w:r>
        <w:rPr>
          <w:color w:val="000000"/>
        </w:rPr>
        <w:t>/</w:t>
      </w:r>
      <w:r>
        <w:rPr>
          <w:color w:val="000000"/>
        </w:rPr>
        <w:t>种子分层统计，区分训练随机性、路线差异和物理参数不确定性。</w:t>
      </w:r>
    </w:p>
    <w:p w14:paraId="4AB2A1BC" w14:textId="77777777" w:rsidR="008C5520" w:rsidRDefault="00BE5E16">
      <w:pPr>
        <w:pStyle w:val="3"/>
        <w:spacing w:before="160" w:after="120"/>
        <w:rPr>
          <w:rFonts w:hint="eastAsia"/>
        </w:rPr>
      </w:pPr>
      <w:r>
        <w:t>主要意见</w:t>
      </w:r>
      <w:r>
        <w:t xml:space="preserve"> 28</w:t>
      </w:r>
    </w:p>
    <w:p w14:paraId="41F37713"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IV-F </w:t>
      </w:r>
      <w:r>
        <w:rPr>
          <w:color w:val="000000"/>
        </w:rPr>
        <w:t>节和第</w:t>
      </w:r>
      <w:r>
        <w:rPr>
          <w:color w:val="000000"/>
        </w:rPr>
        <w:t xml:space="preserve"> V </w:t>
      </w:r>
      <w:r>
        <w:rPr>
          <w:color w:val="000000"/>
        </w:rPr>
        <w:t>节从未给出复合输入增量指标</w:t>
      </w:r>
      <w:r>
        <w:rPr>
          <w:color w:val="000000"/>
        </w:rPr>
        <w:t xml:space="preserve"> J_Δu </w:t>
      </w:r>
      <w:r>
        <w:rPr>
          <w:color w:val="000000"/>
        </w:rPr>
        <w:t>的明确数学定义或归一化。</w:t>
      </w:r>
      <w:r>
        <w:rPr>
          <w:color w:val="000000"/>
        </w:rPr>
        <w:t xml:space="preserve">ΔF_cmd </w:t>
      </w:r>
      <w:r>
        <w:rPr>
          <w:color w:val="000000"/>
        </w:rPr>
        <w:t>与</w:t>
      </w:r>
      <w:r>
        <w:rPr>
          <w:color w:val="000000"/>
        </w:rPr>
        <w:t xml:space="preserve"> Δω_cmd </w:t>
      </w:r>
      <w:r>
        <w:rPr>
          <w:color w:val="000000"/>
        </w:rPr>
        <w:t>的物理单位和数值尺度不同；零坡度情形约</w:t>
      </w:r>
      <w:r>
        <w:rPr>
          <w:color w:val="000000"/>
        </w:rPr>
        <w:t xml:space="preserve"> 696</w:t>
      </w:r>
      <w:r>
        <w:rPr>
          <w:color w:val="000000"/>
        </w:rPr>
        <w:t>，而含坡度情形小于</w:t>
      </w:r>
      <w:r>
        <w:rPr>
          <w:color w:val="000000"/>
        </w:rPr>
        <w:t xml:space="preserve"> 1</w:t>
      </w:r>
      <w:r>
        <w:rPr>
          <w:color w:val="000000"/>
        </w:rPr>
        <w:t>，这些数值在不知道精确缩放、聚合和时域归一化的情况下无法解释。请给出公式以及单位或无量纲归一化方法。</w:t>
      </w:r>
    </w:p>
    <w:p w14:paraId="342BF33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给出逐时刻公式、两个通道的尺度因子</w:t>
      </w:r>
      <w:r>
        <w:rPr>
          <w:color w:val="000000"/>
        </w:rPr>
        <w:t>/</w:t>
      </w:r>
      <w:r>
        <w:rPr>
          <w:color w:val="000000"/>
        </w:rPr>
        <w:t>权重、求和或均值方式、时长归一化和最终单位；必要时将指标改为无量纲。</w:t>
      </w:r>
    </w:p>
    <w:p w14:paraId="151E3A42" w14:textId="77777777" w:rsidR="008C5520" w:rsidRDefault="00BE5E16">
      <w:pPr>
        <w:pStyle w:val="3"/>
        <w:spacing w:before="160" w:after="120"/>
        <w:rPr>
          <w:rFonts w:hint="eastAsia"/>
        </w:rPr>
      </w:pPr>
      <w:r>
        <w:t>主要意见</w:t>
      </w:r>
      <w:r>
        <w:t xml:space="preserve"> 29</w:t>
      </w:r>
    </w:p>
    <w:p w14:paraId="43ADAF12"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V-A </w:t>
      </w:r>
      <w:r>
        <w:rPr>
          <w:color w:val="000000"/>
        </w:rPr>
        <w:t>节中，零坡度调度与含坡度调度之间的性能差距异常巨大：横向</w:t>
      </w:r>
      <w:r>
        <w:rPr>
          <w:color w:val="000000"/>
        </w:rPr>
        <w:t xml:space="preserve"> RMS </w:t>
      </w:r>
      <w:r>
        <w:rPr>
          <w:color w:val="000000"/>
        </w:rPr>
        <w:t>约从</w:t>
      </w:r>
      <w:r>
        <w:rPr>
          <w:color w:val="000000"/>
        </w:rPr>
        <w:t xml:space="preserve"> 1.48 m </w:t>
      </w:r>
      <w:r>
        <w:rPr>
          <w:color w:val="000000"/>
        </w:rPr>
        <w:t>降至</w:t>
      </w:r>
      <w:r>
        <w:rPr>
          <w:color w:val="000000"/>
        </w:rPr>
        <w:t xml:space="preserve"> 0.02 m</w:t>
      </w:r>
      <w:r>
        <w:rPr>
          <w:color w:val="000000"/>
        </w:rPr>
        <w:t>，</w:t>
      </w:r>
      <w:r>
        <w:rPr>
          <w:color w:val="000000"/>
        </w:rPr>
        <w:t xml:space="preserve">J_Δu </w:t>
      </w:r>
      <w:r>
        <w:rPr>
          <w:color w:val="000000"/>
        </w:rPr>
        <w:t>约从</w:t>
      </w:r>
      <w:r>
        <w:rPr>
          <w:color w:val="000000"/>
        </w:rPr>
        <w:t xml:space="preserve"> 696 </w:t>
      </w:r>
      <w:r>
        <w:rPr>
          <w:color w:val="000000"/>
        </w:rPr>
        <w:t>降至</w:t>
      </w:r>
      <w:r>
        <w:rPr>
          <w:color w:val="000000"/>
        </w:rPr>
        <w:t xml:space="preserve"> 0.5</w:t>
      </w:r>
      <w:r>
        <w:rPr>
          <w:color w:val="000000"/>
        </w:rPr>
        <w:t>。这引出一个基本合理性问题：零坡度控制器是否进入饱和、变得不可行，或仅有少数近失效案例。应展示按路线分辨的时序、约束激活图、求解器状态和失效诊断，以证明比较反映的是坡度信息价值，而不是基线实现异常。</w:t>
      </w:r>
    </w:p>
    <w:p w14:paraId="79222F1C"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对每条路线输出误差、输入、坡度、饱和</w:t>
      </w:r>
      <w:r>
        <w:rPr>
          <w:color w:val="000000"/>
        </w:rPr>
        <w:t>/</w:t>
      </w:r>
      <w:r>
        <w:rPr>
          <w:color w:val="000000"/>
        </w:rPr>
        <w:t>约束、松弛变量和</w:t>
      </w:r>
      <w:r>
        <w:rPr>
          <w:color w:val="000000"/>
        </w:rPr>
        <w:t xml:space="preserve"> solver status</w:t>
      </w:r>
      <w:r>
        <w:rPr>
          <w:color w:val="000000"/>
        </w:rPr>
        <w:t>；定位</w:t>
      </w:r>
      <w:r>
        <w:rPr>
          <w:color w:val="000000"/>
        </w:rPr>
        <w:t xml:space="preserve"> 696 </w:t>
      </w:r>
      <w:r>
        <w:rPr>
          <w:color w:val="000000"/>
        </w:rPr>
        <w:t>的来源，并验证零坡度基线参数和代码公平一致。</w:t>
      </w:r>
    </w:p>
    <w:p w14:paraId="2F7642C1" w14:textId="77777777" w:rsidR="008C5520" w:rsidRDefault="00BE5E16">
      <w:pPr>
        <w:pStyle w:val="3"/>
        <w:spacing w:before="160" w:after="120"/>
        <w:rPr>
          <w:rFonts w:hint="eastAsia"/>
        </w:rPr>
      </w:pPr>
      <w:r>
        <w:t>主要意见</w:t>
      </w:r>
      <w:r>
        <w:t xml:space="preserve"> 30</w:t>
      </w:r>
    </w:p>
    <w:p w14:paraId="66EBAA12"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V-A </w:t>
      </w:r>
      <w:r>
        <w:rPr>
          <w:color w:val="000000"/>
        </w:rPr>
        <w:t>节中，合格观测器单独使用时的汇总指标非常接近真值驱动调度。考虑到该观测器由仿真的六轴</w:t>
      </w:r>
      <w:r>
        <w:rPr>
          <w:color w:val="000000"/>
        </w:rPr>
        <w:t xml:space="preserve"> IMU </w:t>
      </w:r>
      <w:r>
        <w:rPr>
          <w:color w:val="000000"/>
        </w:rPr>
        <w:t>驱动，且之后又作为融合信号之一，作者应报告观测器单独的坡度误差统计及精确的合成</w:t>
      </w:r>
      <w:r>
        <w:rPr>
          <w:color w:val="000000"/>
        </w:rPr>
        <w:t xml:space="preserve"> IMU </w:t>
      </w:r>
      <w:r>
        <w:rPr>
          <w:color w:val="000000"/>
        </w:rPr>
        <w:t>扰动模型。否则难以判断观测器基线是否因来自同一名义被控对象而过于有利。</w:t>
      </w:r>
    </w:p>
    <w:p w14:paraId="79E86B13"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报告</w:t>
      </w:r>
      <w:r>
        <w:rPr>
          <w:color w:val="000000"/>
        </w:rPr>
        <w:t xml:space="preserve"> MAE/RMSE/</w:t>
      </w:r>
      <w:r>
        <w:rPr>
          <w:color w:val="000000"/>
        </w:rPr>
        <w:t>偏差</w:t>
      </w:r>
      <w:r>
        <w:rPr>
          <w:color w:val="000000"/>
        </w:rPr>
        <w:t>/</w:t>
      </w:r>
      <w:r>
        <w:rPr>
          <w:color w:val="000000"/>
        </w:rPr>
        <w:t>分位数、不同动态阶段误差及门控覆盖率；对</w:t>
      </w:r>
      <w:r>
        <w:rPr>
          <w:color w:val="000000"/>
        </w:rPr>
        <w:t xml:space="preserve"> IMU </w:t>
      </w:r>
      <w:r>
        <w:rPr>
          <w:color w:val="000000"/>
        </w:rPr>
        <w:t>加入与</w:t>
      </w:r>
      <w:r>
        <w:rPr>
          <w:color w:val="000000"/>
        </w:rPr>
        <w:t xml:space="preserve"> plant </w:t>
      </w:r>
      <w:r>
        <w:rPr>
          <w:color w:val="000000"/>
        </w:rPr>
        <w:t>独立的噪声、偏置、振动、尺度因子和外加速度污染。</w:t>
      </w:r>
    </w:p>
    <w:p w14:paraId="64609F60" w14:textId="77777777" w:rsidR="008C5520" w:rsidRDefault="00BE5E16">
      <w:pPr>
        <w:pStyle w:val="3"/>
        <w:spacing w:before="160" w:after="120"/>
        <w:rPr>
          <w:rFonts w:hint="eastAsia"/>
        </w:rPr>
      </w:pPr>
      <w:r>
        <w:t>主要意见</w:t>
      </w:r>
      <w:r>
        <w:t xml:space="preserve"> 31</w:t>
      </w:r>
    </w:p>
    <w:p w14:paraId="69CF203B"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V-E </w:t>
      </w:r>
      <w:r>
        <w:rPr>
          <w:color w:val="000000"/>
        </w:rPr>
        <w:t>节和表</w:t>
      </w:r>
      <w:r>
        <w:rPr>
          <w:color w:val="000000"/>
        </w:rPr>
        <w:t xml:space="preserve"> 11 </w:t>
      </w:r>
      <w:r>
        <w:rPr>
          <w:color w:val="000000"/>
        </w:rPr>
        <w:t>中，</w:t>
      </w:r>
      <w:r>
        <w:rPr>
          <w:color w:val="000000"/>
        </w:rPr>
        <w:t xml:space="preserve">J_Δu </w:t>
      </w:r>
      <w:r>
        <w:rPr>
          <w:color w:val="000000"/>
        </w:rPr>
        <w:t>的置信区间包含零</w:t>
      </w:r>
      <w:r>
        <w:rPr>
          <w:color w:val="000000"/>
        </w:rPr>
        <w:t xml:space="preserve"> [−0.01349, 0.93333]</w:t>
      </w:r>
      <w:r>
        <w:rPr>
          <w:color w:val="000000"/>
        </w:rPr>
        <w:t>。因此，均值降低</w:t>
      </w:r>
      <w:r>
        <w:rPr>
          <w:color w:val="000000"/>
        </w:rPr>
        <w:t xml:space="preserve"> 27.61% </w:t>
      </w:r>
      <w:r>
        <w:rPr>
          <w:color w:val="000000"/>
        </w:rPr>
        <w:t>不能像横向和航向误差改善那样被表述为获得统计支持。虽然正文部分已有谨慎措辞，但摘要、讨论和结论都应始终区分</w:t>
      </w:r>
      <w:r>
        <w:rPr>
          <w:color w:val="000000"/>
        </w:rPr>
        <w:t>“</w:t>
      </w:r>
      <w:r>
        <w:rPr>
          <w:color w:val="000000"/>
        </w:rPr>
        <w:t>均值较低</w:t>
      </w:r>
      <w:r>
        <w:rPr>
          <w:color w:val="000000"/>
        </w:rPr>
        <w:t>”</w:t>
      </w:r>
      <w:r>
        <w:rPr>
          <w:color w:val="000000"/>
        </w:rPr>
        <w:t>与</w:t>
      </w:r>
      <w:r>
        <w:rPr>
          <w:color w:val="000000"/>
        </w:rPr>
        <w:t>“</w:t>
      </w:r>
      <w:r>
        <w:rPr>
          <w:color w:val="000000"/>
        </w:rPr>
        <w:t>区间支持的改善</w:t>
      </w:r>
      <w:r>
        <w:rPr>
          <w:color w:val="000000"/>
        </w:rPr>
        <w:t>”</w:t>
      </w:r>
      <w:r>
        <w:rPr>
          <w:color w:val="000000"/>
        </w:rPr>
        <w:t>。</w:t>
      </w:r>
    </w:p>
    <w:p w14:paraId="4A146906"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统一所有章节的统计措辞；对</w:t>
      </w:r>
      <w:r>
        <w:rPr>
          <w:color w:val="000000"/>
        </w:rPr>
        <w:t xml:space="preserve"> J_Δu </w:t>
      </w:r>
      <w:r>
        <w:rPr>
          <w:color w:val="000000"/>
        </w:rPr>
        <w:t>仅报告</w:t>
      </w:r>
      <w:r>
        <w:rPr>
          <w:color w:val="000000"/>
        </w:rPr>
        <w:t xml:space="preserve"> lower mean/observed mean reduction</w:t>
      </w:r>
      <w:r>
        <w:rPr>
          <w:color w:val="000000"/>
        </w:rPr>
        <w:t>，并明确置信区间跨零。</w:t>
      </w:r>
    </w:p>
    <w:p w14:paraId="0C0DF31C" w14:textId="77777777" w:rsidR="008C5520" w:rsidRDefault="00BE5E16">
      <w:pPr>
        <w:pStyle w:val="3"/>
        <w:spacing w:before="160" w:after="120"/>
        <w:rPr>
          <w:rFonts w:hint="eastAsia"/>
        </w:rPr>
      </w:pPr>
      <w:r>
        <w:lastRenderedPageBreak/>
        <w:t>主要意见</w:t>
      </w:r>
      <w:r>
        <w:t xml:space="preserve"> 32</w:t>
      </w:r>
    </w:p>
    <w:p w14:paraId="0E342A2E"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V-E </w:t>
      </w:r>
      <w:r>
        <w:rPr>
          <w:color w:val="000000"/>
        </w:rPr>
        <w:t>节和图</w:t>
      </w:r>
      <w:r>
        <w:rPr>
          <w:color w:val="000000"/>
        </w:rPr>
        <w:t xml:space="preserve"> 8 </w:t>
      </w:r>
      <w:r>
        <w:rPr>
          <w:color w:val="000000"/>
        </w:rPr>
        <w:t>报告了一个数值为</w:t>
      </w:r>
      <w:r>
        <w:rPr>
          <w:color w:val="000000"/>
        </w:rPr>
        <w:t xml:space="preserve"> 12.72 </w:t>
      </w:r>
      <w:r>
        <w:rPr>
          <w:color w:val="000000"/>
        </w:rPr>
        <w:t>且绘制在坐标范围之外的</w:t>
      </w:r>
      <w:r>
        <w:rPr>
          <w:color w:val="000000"/>
        </w:rPr>
        <w:t xml:space="preserve"> J_Δu </w:t>
      </w:r>
      <w:r>
        <w:rPr>
          <w:color w:val="000000"/>
        </w:rPr>
        <w:t>效应。该离群值相对于其他效应和总体均值都很大。应识别对应的路线</w:t>
      </w:r>
      <w:r>
        <w:rPr>
          <w:color w:val="000000"/>
        </w:rPr>
        <w:t>/</w:t>
      </w:r>
      <w:r>
        <w:rPr>
          <w:color w:val="000000"/>
        </w:rPr>
        <w:t>随机种子，解释其控制器行为，并报告稳健汇总（中位数</w:t>
      </w:r>
      <w:r>
        <w:rPr>
          <w:color w:val="000000"/>
        </w:rPr>
        <w:t xml:space="preserve">/IQR </w:t>
      </w:r>
      <w:r>
        <w:rPr>
          <w:color w:val="000000"/>
        </w:rPr>
        <w:t>或截尾敏感性），以判断均值降低是否主要由该单个案例驱动。</w:t>
      </w:r>
    </w:p>
    <w:p w14:paraId="0242D240"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定位路线和</w:t>
      </w:r>
      <w:r>
        <w:rPr>
          <w:color w:val="000000"/>
        </w:rPr>
        <w:t xml:space="preserve"> seed</w:t>
      </w:r>
      <w:r>
        <w:rPr>
          <w:color w:val="000000"/>
        </w:rPr>
        <w:t>，复盘完整时序与求解器日志；补中位数、</w:t>
      </w:r>
      <w:r>
        <w:rPr>
          <w:color w:val="000000"/>
        </w:rPr>
        <w:t>IQR</w:t>
      </w:r>
      <w:r>
        <w:rPr>
          <w:color w:val="000000"/>
        </w:rPr>
        <w:t>、去除</w:t>
      </w:r>
      <w:r>
        <w:rPr>
          <w:color w:val="000000"/>
        </w:rPr>
        <w:t>/</w:t>
      </w:r>
      <w:r>
        <w:rPr>
          <w:color w:val="000000"/>
        </w:rPr>
        <w:t>保留离群值的敏感性结果，但不得无依据删除数据。</w:t>
      </w:r>
    </w:p>
    <w:p w14:paraId="588882D1" w14:textId="77777777" w:rsidR="008C5520" w:rsidRDefault="00BE5E16">
      <w:pPr>
        <w:pStyle w:val="3"/>
        <w:spacing w:before="160" w:after="120"/>
        <w:rPr>
          <w:rFonts w:hint="eastAsia"/>
        </w:rPr>
      </w:pPr>
      <w:r>
        <w:t>主要意见</w:t>
      </w:r>
      <w:r>
        <w:t xml:space="preserve"> 33</w:t>
      </w:r>
    </w:p>
    <w:p w14:paraId="080F7428"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V-F </w:t>
      </w:r>
      <w:r>
        <w:rPr>
          <w:color w:val="000000"/>
        </w:rPr>
        <w:t>节的实时性主张不完整。表</w:t>
      </w:r>
      <w:r>
        <w:rPr>
          <w:color w:val="000000"/>
        </w:rPr>
        <w:t xml:space="preserve"> 12 </w:t>
      </w:r>
      <w:r>
        <w:rPr>
          <w:color w:val="000000"/>
        </w:rPr>
        <w:t>只测量核心估计器推理时间，而在线闭环还包括特征构造、归一化</w:t>
      </w:r>
      <w:r>
        <w:rPr>
          <w:color w:val="000000"/>
        </w:rPr>
        <w:t>/</w:t>
      </w:r>
      <w:r>
        <w:rPr>
          <w:color w:val="000000"/>
        </w:rPr>
        <w:t>差分更新、观测器传播</w:t>
      </w:r>
      <w:r>
        <w:rPr>
          <w:color w:val="000000"/>
        </w:rPr>
        <w:t>/</w:t>
      </w:r>
      <w:r>
        <w:rPr>
          <w:color w:val="000000"/>
        </w:rPr>
        <w:t>更新、融合逻辑、坡度调理、</w:t>
      </w:r>
      <w:r>
        <w:rPr>
          <w:color w:val="000000"/>
        </w:rPr>
        <w:t xml:space="preserve">LPV </w:t>
      </w:r>
      <w:r>
        <w:rPr>
          <w:color w:val="000000"/>
        </w:rPr>
        <w:t>插值、权重</w:t>
      </w:r>
      <w:r>
        <w:rPr>
          <w:color w:val="000000"/>
        </w:rPr>
        <w:t>/</w:t>
      </w:r>
      <w:r>
        <w:rPr>
          <w:color w:val="000000"/>
        </w:rPr>
        <w:t>约束调度，以及最重要的</w:t>
      </w:r>
      <w:r>
        <w:rPr>
          <w:color w:val="000000"/>
        </w:rPr>
        <w:t xml:space="preserve"> MPC </w:t>
      </w:r>
      <w:r>
        <w:rPr>
          <w:color w:val="000000"/>
        </w:rPr>
        <w:t>二次规划求解。在</w:t>
      </w:r>
      <w:r>
        <w:rPr>
          <w:color w:val="000000"/>
        </w:rPr>
        <w:t xml:space="preserve"> T_s = 10 ms </w:t>
      </w:r>
      <w:r>
        <w:rPr>
          <w:color w:val="000000"/>
        </w:rPr>
        <w:t>的条件下，只有报告完整闭环的端到端延迟及最坏情况或至少</w:t>
      </w:r>
      <w:r>
        <w:rPr>
          <w:color w:val="000000"/>
        </w:rPr>
        <w:t xml:space="preserve"> p99 </w:t>
      </w:r>
      <w:r>
        <w:rPr>
          <w:color w:val="000000"/>
        </w:rPr>
        <w:t>执行时间后，才能声称具备实时可行性。</w:t>
      </w:r>
    </w:p>
    <w:p w14:paraId="53E7E00C"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在目标硬件和一致计时口径下测量各模块及整环延迟，至少报告均值、</w:t>
      </w:r>
      <w:r>
        <w:rPr>
          <w:color w:val="000000"/>
        </w:rPr>
        <w:t>p95</w:t>
      </w:r>
      <w:r>
        <w:rPr>
          <w:color w:val="000000"/>
        </w:rPr>
        <w:t>、</w:t>
      </w:r>
      <w:r>
        <w:rPr>
          <w:color w:val="000000"/>
        </w:rPr>
        <w:t>p99</w:t>
      </w:r>
      <w:r>
        <w:rPr>
          <w:color w:val="000000"/>
        </w:rPr>
        <w:t>、最大值和超期率；计时必须包含</w:t>
      </w:r>
      <w:r>
        <w:rPr>
          <w:color w:val="000000"/>
        </w:rPr>
        <w:t xml:space="preserve"> QP</w:t>
      </w:r>
      <w:r>
        <w:rPr>
          <w:color w:val="000000"/>
        </w:rPr>
        <w:t>、数据搬运和预处理。</w:t>
      </w:r>
    </w:p>
    <w:p w14:paraId="018B0B13" w14:textId="77777777" w:rsidR="008C5520" w:rsidRDefault="00BE5E16">
      <w:pPr>
        <w:pStyle w:val="3"/>
        <w:spacing w:before="160" w:after="120"/>
        <w:rPr>
          <w:rFonts w:hint="eastAsia"/>
        </w:rPr>
      </w:pPr>
      <w:r>
        <w:t>次要意见</w:t>
      </w:r>
      <w:r>
        <w:t xml:space="preserve"> 34</w:t>
      </w:r>
    </w:p>
    <w:p w14:paraId="4E347BCB"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第</w:t>
      </w:r>
      <w:r>
        <w:rPr>
          <w:color w:val="000000"/>
        </w:rPr>
        <w:t xml:space="preserve"> I </w:t>
      </w:r>
      <w:r>
        <w:rPr>
          <w:color w:val="000000"/>
        </w:rPr>
        <w:t>节（引言）应在贡献列表之前更明确地解释对角双转向轮布置，因为非常规的左前</w:t>
      </w:r>
      <w:r>
        <w:rPr>
          <w:color w:val="000000"/>
        </w:rPr>
        <w:t>/</w:t>
      </w:r>
      <w:r>
        <w:rPr>
          <w:color w:val="000000"/>
        </w:rPr>
        <w:t>右后（</w:t>
      </w:r>
      <w:r>
        <w:rPr>
          <w:color w:val="000000"/>
        </w:rPr>
        <w:t>LF/RR</w:t>
      </w:r>
      <w:r>
        <w:rPr>
          <w:color w:val="000000"/>
        </w:rPr>
        <w:t>）主动轮配置对于理解后续运动学与力模型十分重要。</w:t>
      </w:r>
    </w:p>
    <w:p w14:paraId="4E7DF4CF"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在引言前部增加一段简洁的车辆构型说明，并配合现有结构图明确</w:t>
      </w:r>
      <w:r>
        <w:rPr>
          <w:color w:val="000000"/>
        </w:rPr>
        <w:t xml:space="preserve"> LF/RR </w:t>
      </w:r>
      <w:r>
        <w:rPr>
          <w:color w:val="000000"/>
        </w:rPr>
        <w:t>主动、</w:t>
      </w:r>
      <w:r>
        <w:rPr>
          <w:color w:val="000000"/>
        </w:rPr>
        <w:t xml:space="preserve">RF/LR </w:t>
      </w:r>
      <w:r>
        <w:rPr>
          <w:color w:val="000000"/>
        </w:rPr>
        <w:t>被动及各自驱动</w:t>
      </w:r>
      <w:r>
        <w:rPr>
          <w:color w:val="000000"/>
        </w:rPr>
        <w:t>/</w:t>
      </w:r>
      <w:r>
        <w:rPr>
          <w:color w:val="000000"/>
        </w:rPr>
        <w:t>转向能力。</w:t>
      </w:r>
    </w:p>
    <w:p w14:paraId="51259B3D" w14:textId="77777777" w:rsidR="008C5520" w:rsidRDefault="00BE5E16">
      <w:pPr>
        <w:pStyle w:val="3"/>
        <w:spacing w:before="160" w:after="120"/>
        <w:rPr>
          <w:rFonts w:hint="eastAsia"/>
        </w:rPr>
      </w:pPr>
      <w:r>
        <w:t>次要意见</w:t>
      </w:r>
      <w:r>
        <w:t xml:space="preserve"> 35</w:t>
      </w:r>
    </w:p>
    <w:p w14:paraId="2AC15E89" w14:textId="77777777" w:rsidR="008C5520" w:rsidRDefault="00BE5E16">
      <w:pPr>
        <w:pBdr>
          <w:left w:val="single" w:sz="18" w:space="0" w:color="9C0006"/>
        </w:pBdr>
        <w:shd w:val="clear" w:color="auto" w:fill="FFF8F5"/>
        <w:spacing w:before="70" w:after="90" w:line="330" w:lineRule="auto"/>
        <w:ind w:left="300" w:right="200"/>
        <w:rPr>
          <w:rFonts w:hint="eastAsia"/>
        </w:rPr>
      </w:pPr>
      <w:r>
        <w:rPr>
          <w:b/>
          <w:bCs/>
          <w:color w:val="9C0006"/>
        </w:rPr>
        <w:t>严谨译文：</w:t>
      </w:r>
      <w:r>
        <w:rPr>
          <w:color w:val="000000"/>
        </w:rPr>
        <w:t>全文有若干主章节标题后紧接子章节标题，中间没有引导文字。每个主章节最好以简短引言段开头，说明本节目的、范围与组织，并在进入第一个子节前与前一节形成逻辑过渡。因此，请相应修改论文结构。</w:t>
      </w:r>
    </w:p>
    <w:p w14:paraId="57546C69" w14:textId="77777777" w:rsidR="008C5520" w:rsidRDefault="00BE5E16">
      <w:pPr>
        <w:pBdr>
          <w:left w:val="single" w:sz="18" w:space="0" w:color="1F6D7A"/>
        </w:pBdr>
        <w:shd w:val="clear" w:color="auto" w:fill="F3FAFB"/>
        <w:spacing w:before="70" w:after="90" w:line="330" w:lineRule="auto"/>
        <w:ind w:left="300" w:right="200"/>
        <w:rPr>
          <w:rFonts w:hint="eastAsia"/>
        </w:rPr>
      </w:pPr>
      <w:r>
        <w:rPr>
          <w:b/>
          <w:bCs/>
          <w:color w:val="1F6D7A"/>
        </w:rPr>
        <w:t>执行指引（工作建议，非审稿原文）：</w:t>
      </w:r>
      <w:r>
        <w:rPr>
          <w:color w:val="000000"/>
        </w:rPr>
        <w:t>逐节补</w:t>
      </w:r>
      <w:r>
        <w:rPr>
          <w:color w:val="000000"/>
        </w:rPr>
        <w:t xml:space="preserve"> 2—4 </w:t>
      </w:r>
      <w:r>
        <w:rPr>
          <w:color w:val="000000"/>
        </w:rPr>
        <w:t>句导言，避免重复摘要内容；重点说明本节解决什么问题、包含哪些子部分、如何承接上一节。</w:t>
      </w:r>
    </w:p>
    <w:p w14:paraId="5CCFCC4A" w14:textId="77777777" w:rsidR="008C5520" w:rsidRDefault="00BE5E16">
      <w:pPr>
        <w:pStyle w:val="1"/>
        <w:pageBreakBefore/>
        <w:spacing w:before="220" w:after="120"/>
        <w:rPr>
          <w:rFonts w:hint="eastAsia"/>
        </w:rPr>
      </w:pPr>
      <w:r>
        <w:lastRenderedPageBreak/>
        <w:t>六、重新投稿清单的补充要求</w:t>
      </w:r>
    </w:p>
    <w:p w14:paraId="2ADD0C0D" w14:textId="77777777" w:rsidR="008C5520" w:rsidRDefault="00BE5E16">
      <w:pPr>
        <w:pStyle w:val="2"/>
        <w:spacing w:before="160" w:after="120"/>
        <w:rPr>
          <w:rFonts w:hint="eastAsia"/>
        </w:rPr>
      </w:pPr>
      <w:r>
        <w:t xml:space="preserve">6.1 </w:t>
      </w:r>
      <w:r>
        <w:t>修改与回复</w:t>
      </w:r>
    </w:p>
    <w:p w14:paraId="7D24080A" w14:textId="77777777" w:rsidR="008C5520" w:rsidRDefault="00BE5E16">
      <w:pPr>
        <w:pStyle w:val="a4"/>
        <w:numPr>
          <w:ilvl w:val="0"/>
          <w:numId w:val="2"/>
        </w:numPr>
        <w:spacing w:after="80" w:line="320" w:lineRule="auto"/>
        <w:ind w:left="520" w:hanging="260"/>
        <w:rPr>
          <w:rFonts w:hint="eastAsia"/>
        </w:rPr>
      </w:pPr>
      <w:r>
        <w:rPr>
          <w:color w:val="000000"/>
        </w:rPr>
        <w:t>必须处理全部审稿意见。回复不能只写</w:t>
      </w:r>
      <w:r>
        <w:rPr>
          <w:color w:val="000000"/>
        </w:rPr>
        <w:t>“</w:t>
      </w:r>
      <w:r>
        <w:rPr>
          <w:color w:val="000000"/>
        </w:rPr>
        <w:t>已修改</w:t>
      </w:r>
      <w:r>
        <w:rPr>
          <w:color w:val="000000"/>
        </w:rPr>
        <w:t>”</w:t>
      </w:r>
      <w:r>
        <w:rPr>
          <w:color w:val="000000"/>
        </w:rPr>
        <w:t>，应给出解释、参考文献、示例或数据。</w:t>
      </w:r>
    </w:p>
    <w:p w14:paraId="6A55661C" w14:textId="77777777" w:rsidR="008C5520" w:rsidRDefault="00BE5E16">
      <w:pPr>
        <w:pStyle w:val="a4"/>
        <w:numPr>
          <w:ilvl w:val="0"/>
          <w:numId w:val="2"/>
        </w:numPr>
        <w:spacing w:after="80" w:line="320" w:lineRule="auto"/>
        <w:ind w:left="520" w:hanging="260"/>
        <w:rPr>
          <w:rFonts w:hint="eastAsia"/>
        </w:rPr>
      </w:pPr>
      <w:r>
        <w:rPr>
          <w:color w:val="000000"/>
        </w:rPr>
        <w:t>若不同意某条意见，应在回复文件和论文正文中给出有证据支撑的反驳或限制说明。</w:t>
      </w:r>
    </w:p>
    <w:p w14:paraId="693B3163" w14:textId="77777777" w:rsidR="008C5520" w:rsidRDefault="00BE5E16">
      <w:pPr>
        <w:pStyle w:val="a4"/>
        <w:numPr>
          <w:ilvl w:val="0"/>
          <w:numId w:val="2"/>
        </w:numPr>
        <w:spacing w:after="80" w:line="320" w:lineRule="auto"/>
        <w:ind w:left="520" w:hanging="260"/>
        <w:rPr>
          <w:rFonts w:hint="eastAsia"/>
        </w:rPr>
      </w:pPr>
      <w:r>
        <w:rPr>
          <w:color w:val="000000"/>
        </w:rPr>
        <w:t>原审稿人通常会被邀请复审，但可能无法参加；替代审稿人可看到历史意见、修改稿和作者回复。重新投稿仍需至少两位独立审稿人。</w:t>
      </w:r>
    </w:p>
    <w:p w14:paraId="1EE28E6A" w14:textId="77777777" w:rsidR="008C5520" w:rsidRDefault="00BE5E16">
      <w:pPr>
        <w:pStyle w:val="2"/>
        <w:spacing w:before="160" w:after="120"/>
        <w:rPr>
          <w:rFonts w:hint="eastAsia"/>
        </w:rPr>
      </w:pPr>
      <w:r>
        <w:t xml:space="preserve">6.2 </w:t>
      </w:r>
      <w:r>
        <w:t>语言、公式与参考文献</w:t>
      </w:r>
    </w:p>
    <w:p w14:paraId="747E3E1D" w14:textId="77777777" w:rsidR="008C5520" w:rsidRDefault="00BE5E16">
      <w:pPr>
        <w:pStyle w:val="a4"/>
        <w:numPr>
          <w:ilvl w:val="0"/>
          <w:numId w:val="2"/>
        </w:numPr>
        <w:spacing w:after="80" w:line="320" w:lineRule="auto"/>
        <w:ind w:left="520" w:hanging="260"/>
        <w:rPr>
          <w:rFonts w:hint="eastAsia"/>
        </w:rPr>
      </w:pPr>
      <w:r>
        <w:rPr>
          <w:color w:val="000000"/>
        </w:rPr>
        <w:t>作者必须自行修正全部语法和语言问题；</w:t>
      </w:r>
      <w:r>
        <w:rPr>
          <w:color w:val="000000"/>
        </w:rPr>
        <w:t xml:space="preserve">IEEE </w:t>
      </w:r>
      <w:r>
        <w:rPr>
          <w:color w:val="000000"/>
        </w:rPr>
        <w:t>制作阶段只进行轻度编辑。清单提供</w:t>
      </w:r>
      <w:r>
        <w:rPr>
          <w:color w:val="000000"/>
        </w:rPr>
        <w:t xml:space="preserve"> PaperPal Preflight</w:t>
      </w:r>
      <w:r>
        <w:rPr>
          <w:color w:val="000000"/>
        </w:rPr>
        <w:t>、</w:t>
      </w:r>
      <w:r>
        <w:rPr>
          <w:color w:val="000000"/>
        </w:rPr>
        <w:t xml:space="preserve">American Journal Experts </w:t>
      </w:r>
      <w:r>
        <w:rPr>
          <w:color w:val="000000"/>
        </w:rPr>
        <w:t>和</w:t>
      </w:r>
      <w:r>
        <w:rPr>
          <w:color w:val="000000"/>
        </w:rPr>
        <w:t xml:space="preserve"> Enago </w:t>
      </w:r>
      <w:r>
        <w:rPr>
          <w:color w:val="000000"/>
        </w:rPr>
        <w:t>等语言服务链接，但使用服务并不保证录用。</w:t>
      </w:r>
    </w:p>
    <w:p w14:paraId="2A21D4EC" w14:textId="77777777" w:rsidR="008C5520" w:rsidRDefault="00BE5E16">
      <w:pPr>
        <w:pStyle w:val="a4"/>
        <w:numPr>
          <w:ilvl w:val="0"/>
          <w:numId w:val="2"/>
        </w:numPr>
        <w:spacing w:after="80" w:line="320" w:lineRule="auto"/>
        <w:ind w:left="520" w:hanging="260"/>
        <w:rPr>
          <w:rFonts w:hint="eastAsia"/>
        </w:rPr>
      </w:pPr>
      <w:r>
        <w:rPr>
          <w:color w:val="000000"/>
        </w:rPr>
        <w:t>单字母变量用斜体；多字母函数、标签和说明性下标用正体；相邻斜体变量默认表示乘法。</w:t>
      </w:r>
    </w:p>
    <w:p w14:paraId="6EF23B45" w14:textId="77777777" w:rsidR="008C5520" w:rsidRDefault="00BE5E16">
      <w:pPr>
        <w:pStyle w:val="a4"/>
        <w:numPr>
          <w:ilvl w:val="0"/>
          <w:numId w:val="2"/>
        </w:numPr>
        <w:spacing w:after="80" w:line="320" w:lineRule="auto"/>
        <w:ind w:left="520" w:hanging="260"/>
        <w:rPr>
          <w:rFonts w:hint="eastAsia"/>
        </w:rPr>
      </w:pPr>
      <w:r>
        <w:rPr>
          <w:color w:val="000000"/>
        </w:rPr>
        <w:t>乘法符号使用规范的乘号或居中点，不使用星号；单位用正体；数值与单位之间留空格，但角度符号和百分号除外；向量应使用粗体。</w:t>
      </w:r>
    </w:p>
    <w:p w14:paraId="5DD8C897" w14:textId="77777777" w:rsidR="008C5520" w:rsidRDefault="00BE5E16">
      <w:pPr>
        <w:pStyle w:val="a4"/>
        <w:numPr>
          <w:ilvl w:val="0"/>
          <w:numId w:val="2"/>
        </w:numPr>
        <w:spacing w:after="80" w:line="320" w:lineRule="auto"/>
        <w:ind w:left="520" w:hanging="260"/>
        <w:rPr>
          <w:rFonts w:hint="eastAsia"/>
        </w:rPr>
      </w:pPr>
      <w:r>
        <w:rPr>
          <w:color w:val="000000"/>
        </w:rPr>
        <w:t>参考文献必须准确、一致，并按</w:t>
      </w:r>
      <w:r>
        <w:rPr>
          <w:color w:val="000000"/>
        </w:rPr>
        <w:t xml:space="preserve"> IEEE </w:t>
      </w:r>
      <w:r>
        <w:rPr>
          <w:color w:val="000000"/>
        </w:rPr>
        <w:t>样式及正文首次引用顺序排列。</w:t>
      </w:r>
    </w:p>
    <w:p w14:paraId="609432E1" w14:textId="77777777" w:rsidR="008C5520" w:rsidRDefault="00BE5E16">
      <w:pPr>
        <w:pStyle w:val="2"/>
        <w:spacing w:before="160" w:after="120"/>
        <w:rPr>
          <w:rFonts w:hint="eastAsia"/>
        </w:rPr>
      </w:pPr>
      <w:r>
        <w:t xml:space="preserve">6.3 </w:t>
      </w:r>
      <w:r>
        <w:t>文件与补充材料</w:t>
      </w:r>
    </w:p>
    <w:p w14:paraId="3070BC67" w14:textId="77777777" w:rsidR="008C5520" w:rsidRDefault="00BE5E16">
      <w:pPr>
        <w:pStyle w:val="a4"/>
        <w:numPr>
          <w:ilvl w:val="0"/>
          <w:numId w:val="2"/>
        </w:numPr>
        <w:spacing w:after="80" w:line="320" w:lineRule="auto"/>
        <w:ind w:left="520" w:hanging="260"/>
        <w:rPr>
          <w:rFonts w:hint="eastAsia"/>
        </w:rPr>
      </w:pPr>
      <w:r>
        <w:rPr>
          <w:color w:val="000000"/>
        </w:rPr>
        <w:t>若有用于发表的视频，必须重新提交供同行评审，单个文件最大</w:t>
      </w:r>
      <w:r>
        <w:rPr>
          <w:color w:val="000000"/>
        </w:rPr>
        <w:t xml:space="preserve"> 100 MB</w:t>
      </w:r>
      <w:r>
        <w:rPr>
          <w:color w:val="000000"/>
        </w:rPr>
        <w:t>。</w:t>
      </w:r>
    </w:p>
    <w:p w14:paraId="6FF88D03" w14:textId="77777777" w:rsidR="008C5520" w:rsidRDefault="00BE5E16">
      <w:pPr>
        <w:pStyle w:val="a4"/>
        <w:numPr>
          <w:ilvl w:val="0"/>
          <w:numId w:val="2"/>
        </w:numPr>
        <w:spacing w:after="80" w:line="320" w:lineRule="auto"/>
        <w:ind w:left="520" w:hanging="260"/>
        <w:rPr>
          <w:rFonts w:hint="eastAsia"/>
        </w:rPr>
      </w:pPr>
      <w:r>
        <w:rPr>
          <w:color w:val="000000"/>
        </w:rPr>
        <w:t>所有补充材料都必须经过同行评审；未评审的材料不能随论文发表。补充材料应按要求打包上传。</w:t>
      </w:r>
    </w:p>
    <w:p w14:paraId="2D46A4E0" w14:textId="77777777" w:rsidR="008C5520" w:rsidRDefault="00BE5E16">
      <w:pPr>
        <w:pStyle w:val="a4"/>
        <w:numPr>
          <w:ilvl w:val="0"/>
          <w:numId w:val="2"/>
        </w:numPr>
        <w:spacing w:after="80" w:line="320" w:lineRule="auto"/>
        <w:ind w:left="520" w:hanging="260"/>
        <w:rPr>
          <w:rFonts w:hint="eastAsia"/>
        </w:rPr>
      </w:pPr>
      <w:r>
        <w:rPr>
          <w:color w:val="000000"/>
        </w:rPr>
        <w:t>干净的</w:t>
      </w:r>
      <w:r>
        <w:rPr>
          <w:color w:val="000000"/>
        </w:rPr>
        <w:t xml:space="preserve"> Word/LaTeX </w:t>
      </w:r>
      <w:r>
        <w:rPr>
          <w:color w:val="000000"/>
        </w:rPr>
        <w:t>源文件应包含全部作者简介和照片；同时提交双栏、单倍行距</w:t>
      </w:r>
      <w:r>
        <w:rPr>
          <w:color w:val="000000"/>
        </w:rPr>
        <w:t xml:space="preserve"> PDF</w:t>
      </w:r>
      <w:r>
        <w:rPr>
          <w:color w:val="000000"/>
        </w:rPr>
        <w:t>。</w:t>
      </w:r>
    </w:p>
    <w:p w14:paraId="0A2FF7BA" w14:textId="77777777" w:rsidR="008C5520" w:rsidRDefault="00BE5E16">
      <w:pPr>
        <w:pStyle w:val="2"/>
        <w:spacing w:before="160" w:after="120"/>
        <w:rPr>
          <w:rFonts w:hint="eastAsia"/>
        </w:rPr>
      </w:pPr>
      <w:r>
        <w:t xml:space="preserve">6.4 </w:t>
      </w:r>
      <w:r>
        <w:t>官方链接记录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018"/>
        <w:gridCol w:w="6718"/>
      </w:tblGrid>
      <w:tr w:rsidR="008C5520" w14:paraId="2D05DB79" w14:textId="77777777">
        <w:tblPrEx>
          <w:tblCellMar>
            <w:top w:w="0" w:type="dxa"/>
            <w:bottom w:w="0" w:type="dxa"/>
          </w:tblCellMar>
        </w:tblPrEx>
        <w:trPr>
          <w:tblHeader/>
        </w:trPr>
        <w:tc>
          <w:tcPr>
            <w:tcW w:w="15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6D3F3F95" w14:textId="77777777" w:rsidR="008C5520" w:rsidRDefault="00BE5E16">
            <w:pPr>
              <w:spacing w:line="290" w:lineRule="auto"/>
              <w:jc w:val="center"/>
              <w:rPr>
                <w:rFonts w:hint="eastAsia"/>
              </w:rPr>
            </w:pPr>
            <w:r>
              <w:rPr>
                <w:b/>
                <w:bCs/>
                <w:color w:val="FFFFFF"/>
                <w:sz w:val="19"/>
                <w:szCs w:val="19"/>
              </w:rPr>
              <w:t>用途</w:t>
            </w:r>
          </w:p>
        </w:tc>
        <w:tc>
          <w:tcPr>
            <w:tcW w:w="34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2E772CFE" w14:textId="77777777" w:rsidR="008C5520" w:rsidRDefault="00BE5E16">
            <w:pPr>
              <w:spacing w:line="290" w:lineRule="auto"/>
              <w:jc w:val="center"/>
              <w:rPr>
                <w:rFonts w:hint="eastAsia"/>
              </w:rPr>
            </w:pPr>
            <w:r>
              <w:rPr>
                <w:b/>
                <w:bCs/>
                <w:color w:val="FFFFFF"/>
                <w:sz w:val="19"/>
                <w:szCs w:val="19"/>
              </w:rPr>
              <w:t>链接</w:t>
            </w:r>
          </w:p>
        </w:tc>
      </w:tr>
      <w:tr w:rsidR="008C5520" w14:paraId="04A3E561" w14:textId="77777777">
        <w:tblPrEx>
          <w:tblCellMar>
            <w:top w:w="0" w:type="dxa"/>
            <w:bottom w:w="0" w:type="dxa"/>
          </w:tblCellMar>
        </w:tblPrEx>
        <w:tc>
          <w:tcPr>
            <w:tcW w:w="15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4C18A92" w14:textId="77777777" w:rsidR="008C5520" w:rsidRDefault="00BE5E16">
            <w:pPr>
              <w:spacing w:line="290" w:lineRule="auto"/>
              <w:rPr>
                <w:rFonts w:hint="eastAsia"/>
              </w:rPr>
            </w:pPr>
            <w:r>
              <w:rPr>
                <w:color w:val="000000"/>
                <w:sz w:val="19"/>
                <w:szCs w:val="19"/>
              </w:rPr>
              <w:t>IEEE Author Portal</w:t>
            </w:r>
          </w:p>
        </w:tc>
        <w:tc>
          <w:tcPr>
            <w:tcW w:w="34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FEDE62C" w14:textId="77777777" w:rsidR="008C5520" w:rsidRDefault="00BE5E16">
            <w:pPr>
              <w:spacing w:line="290" w:lineRule="auto"/>
              <w:rPr>
                <w:rFonts w:hint="eastAsia"/>
              </w:rPr>
            </w:pPr>
            <w:r>
              <w:rPr>
                <w:color w:val="000000"/>
                <w:sz w:val="19"/>
                <w:szCs w:val="19"/>
              </w:rPr>
              <w:t>https://ieee.atyponrex.com/journal/ieee-access</w:t>
            </w:r>
          </w:p>
        </w:tc>
      </w:tr>
      <w:tr w:rsidR="008C5520" w14:paraId="3FEC7B25" w14:textId="77777777">
        <w:tblPrEx>
          <w:tblCellMar>
            <w:top w:w="0" w:type="dxa"/>
            <w:bottom w:w="0" w:type="dxa"/>
          </w:tblCellMar>
        </w:tblPrEx>
        <w:tc>
          <w:tcPr>
            <w:tcW w:w="15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EA360FB" w14:textId="77777777" w:rsidR="008C5520" w:rsidRDefault="00BE5E16">
            <w:pPr>
              <w:spacing w:line="290" w:lineRule="auto"/>
              <w:rPr>
                <w:rFonts w:hint="eastAsia"/>
              </w:rPr>
            </w:pPr>
            <w:r>
              <w:rPr>
                <w:color w:val="000000"/>
                <w:sz w:val="19"/>
                <w:szCs w:val="19"/>
              </w:rPr>
              <w:t>IEEE Access Submission Guidelines</w:t>
            </w:r>
          </w:p>
        </w:tc>
        <w:tc>
          <w:tcPr>
            <w:tcW w:w="34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7CCC2D22" w14:textId="77777777" w:rsidR="008C5520" w:rsidRDefault="00BE5E16">
            <w:pPr>
              <w:spacing w:line="290" w:lineRule="auto"/>
              <w:rPr>
                <w:rFonts w:hint="eastAsia"/>
              </w:rPr>
            </w:pPr>
            <w:r>
              <w:rPr>
                <w:color w:val="000000"/>
                <w:sz w:val="19"/>
                <w:szCs w:val="19"/>
              </w:rPr>
              <w:t>https://ieeeaccess.ieee.org/guide-for-authors/submission-guidelines/</w:t>
            </w:r>
          </w:p>
        </w:tc>
      </w:tr>
      <w:tr w:rsidR="008C5520" w14:paraId="22FAE75F" w14:textId="77777777">
        <w:tblPrEx>
          <w:tblCellMar>
            <w:top w:w="0" w:type="dxa"/>
            <w:bottom w:w="0" w:type="dxa"/>
          </w:tblCellMar>
        </w:tblPrEx>
        <w:tc>
          <w:tcPr>
            <w:tcW w:w="15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6E3D15C7" w14:textId="77777777" w:rsidR="008C5520" w:rsidRDefault="00BE5E16">
            <w:pPr>
              <w:spacing w:line="290" w:lineRule="auto"/>
              <w:rPr>
                <w:rFonts w:hint="eastAsia"/>
              </w:rPr>
            </w:pPr>
            <w:r>
              <w:rPr>
                <w:color w:val="000000"/>
                <w:sz w:val="19"/>
                <w:szCs w:val="19"/>
              </w:rPr>
              <w:t>PaperPal Preflight</w:t>
            </w:r>
          </w:p>
        </w:tc>
        <w:tc>
          <w:tcPr>
            <w:tcW w:w="34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8795D3E" w14:textId="77777777" w:rsidR="008C5520" w:rsidRDefault="00BE5E16">
            <w:pPr>
              <w:spacing w:line="290" w:lineRule="auto"/>
              <w:rPr>
                <w:rFonts w:hint="eastAsia"/>
              </w:rPr>
            </w:pPr>
            <w:r>
              <w:rPr>
                <w:color w:val="000000"/>
                <w:sz w:val="19"/>
                <w:szCs w:val="19"/>
              </w:rPr>
              <w:t>https://preflight.paperpal.com/partner/ieee/access</w:t>
            </w:r>
          </w:p>
        </w:tc>
      </w:tr>
      <w:tr w:rsidR="008C5520" w14:paraId="06527633" w14:textId="77777777">
        <w:tblPrEx>
          <w:tblCellMar>
            <w:top w:w="0" w:type="dxa"/>
            <w:bottom w:w="0" w:type="dxa"/>
          </w:tblCellMar>
        </w:tblPrEx>
        <w:tc>
          <w:tcPr>
            <w:tcW w:w="15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E8AE4CE" w14:textId="77777777" w:rsidR="008C5520" w:rsidRDefault="00BE5E16">
            <w:pPr>
              <w:spacing w:line="290" w:lineRule="auto"/>
              <w:rPr>
                <w:rFonts w:hint="eastAsia"/>
              </w:rPr>
            </w:pPr>
            <w:r>
              <w:rPr>
                <w:color w:val="000000"/>
                <w:sz w:val="19"/>
                <w:szCs w:val="19"/>
              </w:rPr>
              <w:t>数学公式编辑规范</w:t>
            </w:r>
          </w:p>
        </w:tc>
        <w:tc>
          <w:tcPr>
            <w:tcW w:w="34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1787CA5" w14:textId="77777777" w:rsidR="008C5520" w:rsidRDefault="00BE5E16">
            <w:pPr>
              <w:spacing w:line="290" w:lineRule="auto"/>
              <w:rPr>
                <w:rFonts w:hint="eastAsia"/>
              </w:rPr>
            </w:pPr>
            <w:r>
              <w:rPr>
                <w:color w:val="000000"/>
                <w:sz w:val="19"/>
                <w:szCs w:val="19"/>
              </w:rPr>
              <w:t>http://journals.ieeeauthorcenter.ieee.org/wp-content/uploads/sites/7/Editing-Mathematics.pdf</w:t>
            </w:r>
          </w:p>
        </w:tc>
      </w:tr>
      <w:tr w:rsidR="008C5520" w14:paraId="6FBDC81C" w14:textId="77777777">
        <w:tblPrEx>
          <w:tblCellMar>
            <w:top w:w="0" w:type="dxa"/>
            <w:bottom w:w="0" w:type="dxa"/>
          </w:tblCellMar>
        </w:tblPrEx>
        <w:tc>
          <w:tcPr>
            <w:tcW w:w="15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248D351B" w14:textId="77777777" w:rsidR="008C5520" w:rsidRDefault="00BE5E16">
            <w:pPr>
              <w:spacing w:line="290" w:lineRule="auto"/>
              <w:rPr>
                <w:rFonts w:hint="eastAsia"/>
              </w:rPr>
            </w:pPr>
            <w:r>
              <w:rPr>
                <w:color w:val="000000"/>
                <w:sz w:val="19"/>
                <w:szCs w:val="19"/>
              </w:rPr>
              <w:t>IEEE Editorial Style Manual</w:t>
            </w:r>
          </w:p>
        </w:tc>
        <w:tc>
          <w:tcPr>
            <w:tcW w:w="34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83B2315" w14:textId="77777777" w:rsidR="008C5520" w:rsidRDefault="00BE5E16">
            <w:pPr>
              <w:spacing w:line="290" w:lineRule="auto"/>
              <w:rPr>
                <w:rFonts w:hint="eastAsia"/>
              </w:rPr>
            </w:pPr>
            <w:r>
              <w:rPr>
                <w:color w:val="000000"/>
                <w:sz w:val="19"/>
                <w:szCs w:val="19"/>
              </w:rPr>
              <w:t>https://journals.ieeeauthorcenter.ieee.org/create-your-ieee-journal-article/create-the-text-of-your-article/ieee-editorial-style-manual/</w:t>
            </w:r>
          </w:p>
        </w:tc>
      </w:tr>
      <w:tr w:rsidR="008C5520" w14:paraId="402E88A4" w14:textId="77777777">
        <w:tblPrEx>
          <w:tblCellMar>
            <w:top w:w="0" w:type="dxa"/>
            <w:bottom w:w="0" w:type="dxa"/>
          </w:tblCellMar>
        </w:tblPrEx>
        <w:tc>
          <w:tcPr>
            <w:tcW w:w="15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EB2DCD8" w14:textId="77777777" w:rsidR="008C5520" w:rsidRDefault="00BE5E16">
            <w:pPr>
              <w:spacing w:line="290" w:lineRule="auto"/>
              <w:rPr>
                <w:rFonts w:hint="eastAsia"/>
              </w:rPr>
            </w:pPr>
            <w:r>
              <w:rPr>
                <w:color w:val="000000"/>
                <w:sz w:val="19"/>
                <w:szCs w:val="19"/>
              </w:rPr>
              <w:t>Preparing Your Article</w:t>
            </w:r>
          </w:p>
        </w:tc>
        <w:tc>
          <w:tcPr>
            <w:tcW w:w="34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ECF4248" w14:textId="77777777" w:rsidR="008C5520" w:rsidRDefault="00BE5E16">
            <w:pPr>
              <w:spacing w:line="290" w:lineRule="auto"/>
              <w:rPr>
                <w:rFonts w:hint="eastAsia"/>
              </w:rPr>
            </w:pPr>
            <w:r>
              <w:rPr>
                <w:color w:val="000000"/>
                <w:sz w:val="19"/>
                <w:szCs w:val="19"/>
              </w:rPr>
              <w:t>https://ieeeaccess.ieee.org/guide-for-authors/preparing-your-article/</w:t>
            </w:r>
          </w:p>
        </w:tc>
      </w:tr>
    </w:tbl>
    <w:p w14:paraId="543CD62A" w14:textId="77777777" w:rsidR="008C5520" w:rsidRDefault="00BE5E16">
      <w:pPr>
        <w:pStyle w:val="1"/>
        <w:pageBreakBefore/>
        <w:spacing w:before="220" w:after="120"/>
        <w:rPr>
          <w:rFonts w:hint="eastAsia"/>
        </w:rPr>
      </w:pPr>
      <w:r>
        <w:lastRenderedPageBreak/>
        <w:t>七、建议的修改工作包与顺序</w:t>
      </w:r>
    </w:p>
    <w:p w14:paraId="3CF0FA40" w14:textId="77777777" w:rsidR="008C5520" w:rsidRDefault="00BE5E16">
      <w:pPr>
        <w:spacing w:after="110"/>
        <w:ind w:firstLine="420"/>
        <w:jc w:val="both"/>
        <w:rPr>
          <w:rFonts w:hint="eastAsia"/>
        </w:rPr>
      </w:pPr>
      <w:r>
        <w:rPr>
          <w:color w:val="000000"/>
        </w:rPr>
        <w:t>以下顺序是内部执行建议，目的是降低返工：先解决会改变模型、数据和结果的问题，再处理文字、结构和文件制作。</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558"/>
        <w:gridCol w:w="4576"/>
        <w:gridCol w:w="3602"/>
      </w:tblGrid>
      <w:tr w:rsidR="008C5520" w14:paraId="1420BA21" w14:textId="77777777">
        <w:tblPrEx>
          <w:tblCellMar>
            <w:top w:w="0" w:type="dxa"/>
            <w:bottom w:w="0" w:type="dxa"/>
          </w:tblCellMar>
        </w:tblPrEx>
        <w:trPr>
          <w:tblHeader/>
        </w:trPr>
        <w:tc>
          <w:tcPr>
            <w:tcW w:w="8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03BD3FCC" w14:textId="77777777" w:rsidR="008C5520" w:rsidRDefault="00BE5E16">
            <w:pPr>
              <w:spacing w:line="290" w:lineRule="auto"/>
              <w:jc w:val="center"/>
              <w:rPr>
                <w:rFonts w:hint="eastAsia"/>
              </w:rPr>
            </w:pPr>
            <w:r>
              <w:rPr>
                <w:b/>
                <w:bCs/>
                <w:color w:val="FFFFFF"/>
                <w:sz w:val="19"/>
                <w:szCs w:val="19"/>
              </w:rPr>
              <w:t>阶段</w:t>
            </w:r>
          </w:p>
        </w:tc>
        <w:tc>
          <w:tcPr>
            <w:tcW w:w="23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0E4520B9" w14:textId="77777777" w:rsidR="008C5520" w:rsidRDefault="00BE5E16">
            <w:pPr>
              <w:spacing w:line="290" w:lineRule="auto"/>
              <w:jc w:val="center"/>
              <w:rPr>
                <w:rFonts w:hint="eastAsia"/>
              </w:rPr>
            </w:pPr>
            <w:r>
              <w:rPr>
                <w:b/>
                <w:bCs/>
                <w:color w:val="FFFFFF"/>
                <w:sz w:val="19"/>
                <w:szCs w:val="19"/>
              </w:rPr>
              <w:t>主要任务</w:t>
            </w:r>
          </w:p>
        </w:tc>
        <w:tc>
          <w:tcPr>
            <w:tcW w:w="18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0D0501BF" w14:textId="77777777" w:rsidR="008C5520" w:rsidRDefault="00BE5E16">
            <w:pPr>
              <w:spacing w:line="290" w:lineRule="auto"/>
              <w:jc w:val="center"/>
              <w:rPr>
                <w:rFonts w:hint="eastAsia"/>
              </w:rPr>
            </w:pPr>
            <w:r>
              <w:rPr>
                <w:b/>
                <w:bCs/>
                <w:color w:val="FFFFFF"/>
                <w:sz w:val="19"/>
                <w:szCs w:val="19"/>
              </w:rPr>
              <w:t>完成判据</w:t>
            </w:r>
          </w:p>
        </w:tc>
      </w:tr>
      <w:tr w:rsidR="008C5520" w14:paraId="63F90EAD" w14:textId="77777777">
        <w:tblPrEx>
          <w:tblCellMar>
            <w:top w:w="0" w:type="dxa"/>
            <w:bottom w:w="0" w:type="dxa"/>
          </w:tblCellMar>
        </w:tblPrEx>
        <w:tc>
          <w:tcPr>
            <w:tcW w:w="8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691513D" w14:textId="77777777" w:rsidR="008C5520" w:rsidRDefault="00BE5E16">
            <w:pPr>
              <w:spacing w:line="290" w:lineRule="auto"/>
              <w:rPr>
                <w:rFonts w:hint="eastAsia"/>
              </w:rPr>
            </w:pPr>
            <w:r>
              <w:rPr>
                <w:color w:val="000000"/>
                <w:sz w:val="19"/>
                <w:szCs w:val="19"/>
              </w:rPr>
              <w:t xml:space="preserve">A. </w:t>
            </w:r>
            <w:r>
              <w:rPr>
                <w:color w:val="000000"/>
                <w:sz w:val="19"/>
                <w:szCs w:val="19"/>
              </w:rPr>
              <w:t>事实与代码审计</w:t>
            </w:r>
          </w:p>
        </w:tc>
        <w:tc>
          <w:tcPr>
            <w:tcW w:w="23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FE6756A" w14:textId="77777777" w:rsidR="008C5520" w:rsidRDefault="00BE5E16">
            <w:pPr>
              <w:spacing w:line="290" w:lineRule="auto"/>
              <w:rPr>
                <w:rFonts w:hint="eastAsia"/>
              </w:rPr>
            </w:pPr>
            <w:r>
              <w:rPr>
                <w:color w:val="000000"/>
                <w:sz w:val="19"/>
                <w:szCs w:val="19"/>
              </w:rPr>
              <w:t>核对最终投稿稿件、仿真</w:t>
            </w:r>
            <w:r>
              <w:rPr>
                <w:color w:val="000000"/>
                <w:sz w:val="19"/>
                <w:szCs w:val="19"/>
              </w:rPr>
              <w:t xml:space="preserve"> plant</w:t>
            </w:r>
            <w:r>
              <w:rPr>
                <w:color w:val="000000"/>
                <w:sz w:val="19"/>
                <w:szCs w:val="19"/>
              </w:rPr>
              <w:t>、训练数据脚本、</w:t>
            </w:r>
            <w:r>
              <w:rPr>
                <w:color w:val="000000"/>
                <w:sz w:val="19"/>
                <w:szCs w:val="19"/>
              </w:rPr>
              <w:t xml:space="preserve">LPV </w:t>
            </w:r>
            <w:r>
              <w:rPr>
                <w:color w:val="000000"/>
                <w:sz w:val="19"/>
                <w:szCs w:val="19"/>
              </w:rPr>
              <w:t>建库、观测器</w:t>
            </w:r>
            <w:r>
              <w:rPr>
                <w:color w:val="000000"/>
                <w:sz w:val="19"/>
                <w:szCs w:val="19"/>
              </w:rPr>
              <w:t>/</w:t>
            </w:r>
            <w:r>
              <w:rPr>
                <w:color w:val="000000"/>
                <w:sz w:val="19"/>
                <w:szCs w:val="19"/>
              </w:rPr>
              <w:t>融合、</w:t>
            </w:r>
            <w:r>
              <w:rPr>
                <w:color w:val="000000"/>
                <w:sz w:val="19"/>
                <w:szCs w:val="19"/>
              </w:rPr>
              <w:t xml:space="preserve">MPC </w:t>
            </w:r>
            <w:r>
              <w:rPr>
                <w:color w:val="000000"/>
                <w:sz w:val="19"/>
                <w:szCs w:val="19"/>
              </w:rPr>
              <w:t>和统计代码的版本对应关系。</w:t>
            </w:r>
          </w:p>
        </w:tc>
        <w:tc>
          <w:tcPr>
            <w:tcW w:w="18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7333EB2" w14:textId="77777777" w:rsidR="008C5520" w:rsidRDefault="00BE5E16">
            <w:pPr>
              <w:spacing w:line="290" w:lineRule="auto"/>
              <w:rPr>
                <w:rFonts w:hint="eastAsia"/>
              </w:rPr>
            </w:pPr>
            <w:r>
              <w:rPr>
                <w:color w:val="000000"/>
                <w:sz w:val="19"/>
                <w:szCs w:val="19"/>
              </w:rPr>
              <w:t>形成</w:t>
            </w:r>
            <w:r>
              <w:rPr>
                <w:color w:val="000000"/>
                <w:sz w:val="19"/>
                <w:szCs w:val="19"/>
              </w:rPr>
              <w:t>“</w:t>
            </w:r>
            <w:r>
              <w:rPr>
                <w:color w:val="000000"/>
                <w:sz w:val="19"/>
                <w:szCs w:val="19"/>
              </w:rPr>
              <w:t>论文公式</w:t>
            </w:r>
            <w:r>
              <w:rPr>
                <w:color w:val="000000"/>
                <w:sz w:val="19"/>
                <w:szCs w:val="19"/>
              </w:rPr>
              <w:t>—</w:t>
            </w:r>
            <w:r>
              <w:rPr>
                <w:color w:val="000000"/>
                <w:sz w:val="19"/>
                <w:szCs w:val="19"/>
              </w:rPr>
              <w:t>代码文件</w:t>
            </w:r>
            <w:r>
              <w:rPr>
                <w:color w:val="000000"/>
                <w:sz w:val="19"/>
                <w:szCs w:val="19"/>
              </w:rPr>
              <w:t>—</w:t>
            </w:r>
            <w:r>
              <w:rPr>
                <w:color w:val="000000"/>
                <w:sz w:val="19"/>
                <w:szCs w:val="19"/>
              </w:rPr>
              <w:t>参数来源</w:t>
            </w:r>
            <w:r>
              <w:rPr>
                <w:color w:val="000000"/>
                <w:sz w:val="19"/>
                <w:szCs w:val="19"/>
              </w:rPr>
              <w:t>—</w:t>
            </w:r>
            <w:r>
              <w:rPr>
                <w:color w:val="000000"/>
                <w:sz w:val="19"/>
                <w:szCs w:val="19"/>
              </w:rPr>
              <w:t>结果文件</w:t>
            </w:r>
            <w:r>
              <w:rPr>
                <w:color w:val="000000"/>
                <w:sz w:val="19"/>
                <w:szCs w:val="19"/>
              </w:rPr>
              <w:t>”</w:t>
            </w:r>
            <w:r>
              <w:rPr>
                <w:color w:val="000000"/>
                <w:sz w:val="19"/>
                <w:szCs w:val="19"/>
              </w:rPr>
              <w:t>映射；确认所有意见影响范围。</w:t>
            </w:r>
          </w:p>
        </w:tc>
      </w:tr>
      <w:tr w:rsidR="008C5520" w14:paraId="1B87D0B8" w14:textId="77777777">
        <w:tblPrEx>
          <w:tblCellMar>
            <w:top w:w="0" w:type="dxa"/>
            <w:bottom w:w="0" w:type="dxa"/>
          </w:tblCellMar>
        </w:tblPrEx>
        <w:tc>
          <w:tcPr>
            <w:tcW w:w="8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64B4DEC8" w14:textId="77777777" w:rsidR="008C5520" w:rsidRDefault="00BE5E16">
            <w:pPr>
              <w:spacing w:line="290" w:lineRule="auto"/>
              <w:rPr>
                <w:rFonts w:hint="eastAsia"/>
              </w:rPr>
            </w:pPr>
            <w:r>
              <w:rPr>
                <w:color w:val="000000"/>
                <w:sz w:val="19"/>
                <w:szCs w:val="19"/>
              </w:rPr>
              <w:t xml:space="preserve">B. </w:t>
            </w:r>
            <w:r>
              <w:rPr>
                <w:color w:val="000000"/>
                <w:sz w:val="19"/>
                <w:szCs w:val="19"/>
              </w:rPr>
              <w:t>物理模型修订</w:t>
            </w:r>
          </w:p>
        </w:tc>
        <w:tc>
          <w:tcPr>
            <w:tcW w:w="23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9D399FE" w14:textId="77777777" w:rsidR="008C5520" w:rsidRDefault="00BE5E16">
            <w:pPr>
              <w:spacing w:line="290" w:lineRule="auto"/>
              <w:rPr>
                <w:rFonts w:hint="eastAsia"/>
              </w:rPr>
            </w:pPr>
            <w:r>
              <w:rPr>
                <w:color w:val="000000"/>
                <w:sz w:val="19"/>
                <w:szCs w:val="19"/>
              </w:rPr>
              <w:t>坡面载荷转移、</w:t>
            </w:r>
            <w:r>
              <w:rPr>
                <w:color w:val="000000"/>
                <w:sz w:val="19"/>
                <w:szCs w:val="19"/>
              </w:rPr>
              <w:t xml:space="preserve">RF/LR </w:t>
            </w:r>
            <w:r>
              <w:rPr>
                <w:color w:val="000000"/>
                <w:sz w:val="19"/>
                <w:szCs w:val="19"/>
              </w:rPr>
              <w:t>轮侧向力、轮系到车体系变换、电机正负向限幅、缺失参数、仿射残差。</w:t>
            </w:r>
          </w:p>
        </w:tc>
        <w:tc>
          <w:tcPr>
            <w:tcW w:w="18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5C75801" w14:textId="77777777" w:rsidR="008C5520" w:rsidRDefault="00BE5E16">
            <w:pPr>
              <w:spacing w:line="290" w:lineRule="auto"/>
              <w:rPr>
                <w:rFonts w:hint="eastAsia"/>
              </w:rPr>
            </w:pPr>
            <w:r>
              <w:rPr>
                <w:color w:val="000000"/>
                <w:sz w:val="19"/>
                <w:szCs w:val="19"/>
              </w:rPr>
              <w:t>推导、代码和参数表一致；有单元</w:t>
            </w:r>
            <w:r>
              <w:rPr>
                <w:color w:val="000000"/>
                <w:sz w:val="19"/>
                <w:szCs w:val="19"/>
              </w:rPr>
              <w:t>/</w:t>
            </w:r>
            <w:r>
              <w:rPr>
                <w:color w:val="000000"/>
                <w:sz w:val="19"/>
                <w:szCs w:val="19"/>
              </w:rPr>
              <w:t>数值校验；确定是否需要重建</w:t>
            </w:r>
            <w:r>
              <w:rPr>
                <w:color w:val="000000"/>
                <w:sz w:val="19"/>
                <w:szCs w:val="19"/>
              </w:rPr>
              <w:t xml:space="preserve"> LPV </w:t>
            </w:r>
            <w:r>
              <w:rPr>
                <w:color w:val="000000"/>
                <w:sz w:val="19"/>
                <w:szCs w:val="19"/>
              </w:rPr>
              <w:t>数据库。</w:t>
            </w:r>
          </w:p>
        </w:tc>
      </w:tr>
      <w:tr w:rsidR="008C5520" w14:paraId="2A9781B1" w14:textId="77777777">
        <w:tblPrEx>
          <w:tblCellMar>
            <w:top w:w="0" w:type="dxa"/>
            <w:bottom w:w="0" w:type="dxa"/>
          </w:tblCellMar>
        </w:tblPrEx>
        <w:tc>
          <w:tcPr>
            <w:tcW w:w="8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45ED8B8" w14:textId="77777777" w:rsidR="008C5520" w:rsidRDefault="00BE5E16">
            <w:pPr>
              <w:spacing w:line="290" w:lineRule="auto"/>
              <w:rPr>
                <w:rFonts w:hint="eastAsia"/>
              </w:rPr>
            </w:pPr>
            <w:r>
              <w:rPr>
                <w:color w:val="000000"/>
                <w:sz w:val="19"/>
                <w:szCs w:val="19"/>
              </w:rPr>
              <w:t xml:space="preserve">C. </w:t>
            </w:r>
            <w:r>
              <w:rPr>
                <w:color w:val="000000"/>
                <w:sz w:val="19"/>
                <w:szCs w:val="19"/>
              </w:rPr>
              <w:t>数据与估计器修订</w:t>
            </w:r>
          </w:p>
        </w:tc>
        <w:tc>
          <w:tcPr>
            <w:tcW w:w="23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05ACD554" w14:textId="77777777" w:rsidR="008C5520" w:rsidRDefault="00BE5E16">
            <w:pPr>
              <w:spacing w:line="290" w:lineRule="auto"/>
              <w:rPr>
                <w:rFonts w:hint="eastAsia"/>
              </w:rPr>
            </w:pPr>
            <w:r>
              <w:rPr>
                <w:color w:val="000000"/>
                <w:sz w:val="19"/>
                <w:szCs w:val="19"/>
              </w:rPr>
              <w:t>模板级划分、传感器</w:t>
            </w:r>
            <w:r>
              <w:rPr>
                <w:color w:val="000000"/>
                <w:sz w:val="19"/>
                <w:szCs w:val="19"/>
              </w:rPr>
              <w:t xml:space="preserve">/IMU </w:t>
            </w:r>
            <w:r>
              <w:rPr>
                <w:color w:val="000000"/>
                <w:sz w:val="19"/>
                <w:szCs w:val="19"/>
              </w:rPr>
              <w:t>扰动模型、滞后与窗口消融、置信度校准、观测器和融合公式。</w:t>
            </w:r>
          </w:p>
        </w:tc>
        <w:tc>
          <w:tcPr>
            <w:tcW w:w="18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28099C2" w14:textId="77777777" w:rsidR="008C5520" w:rsidRDefault="00BE5E16">
            <w:pPr>
              <w:spacing w:line="290" w:lineRule="auto"/>
              <w:rPr>
                <w:rFonts w:hint="eastAsia"/>
              </w:rPr>
            </w:pPr>
            <w:r>
              <w:rPr>
                <w:color w:val="000000"/>
                <w:sz w:val="19"/>
                <w:szCs w:val="19"/>
              </w:rPr>
              <w:t>数据无模板泄漏；估计器与融合可复现；阈值和校准只使用训练</w:t>
            </w:r>
            <w:r>
              <w:rPr>
                <w:color w:val="000000"/>
                <w:sz w:val="19"/>
                <w:szCs w:val="19"/>
              </w:rPr>
              <w:t>/</w:t>
            </w:r>
            <w:r>
              <w:rPr>
                <w:color w:val="000000"/>
                <w:sz w:val="19"/>
                <w:szCs w:val="19"/>
              </w:rPr>
              <w:t>验证数据。</w:t>
            </w:r>
          </w:p>
        </w:tc>
      </w:tr>
      <w:tr w:rsidR="008C5520" w14:paraId="66D0ADAB" w14:textId="77777777">
        <w:tblPrEx>
          <w:tblCellMar>
            <w:top w:w="0" w:type="dxa"/>
            <w:bottom w:w="0" w:type="dxa"/>
          </w:tblCellMar>
        </w:tblPrEx>
        <w:tc>
          <w:tcPr>
            <w:tcW w:w="8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1573174" w14:textId="77777777" w:rsidR="008C5520" w:rsidRDefault="00BE5E16">
            <w:pPr>
              <w:spacing w:line="290" w:lineRule="auto"/>
              <w:rPr>
                <w:rFonts w:hint="eastAsia"/>
              </w:rPr>
            </w:pPr>
            <w:r>
              <w:rPr>
                <w:color w:val="000000"/>
                <w:sz w:val="19"/>
                <w:szCs w:val="19"/>
              </w:rPr>
              <w:t xml:space="preserve">D. </w:t>
            </w:r>
            <w:r>
              <w:rPr>
                <w:color w:val="000000"/>
                <w:sz w:val="19"/>
                <w:szCs w:val="19"/>
              </w:rPr>
              <w:t>独立验证与统计</w:t>
            </w:r>
          </w:p>
        </w:tc>
        <w:tc>
          <w:tcPr>
            <w:tcW w:w="23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910F3EC" w14:textId="77777777" w:rsidR="008C5520" w:rsidRDefault="00BE5E16">
            <w:pPr>
              <w:spacing w:line="290" w:lineRule="auto"/>
              <w:rPr>
                <w:rFonts w:hint="eastAsia"/>
              </w:rPr>
            </w:pPr>
            <w:r>
              <w:rPr>
                <w:color w:val="000000"/>
                <w:sz w:val="19"/>
                <w:szCs w:val="19"/>
              </w:rPr>
              <w:t>参数失配、域差异、未见路线</w:t>
            </w:r>
            <w:r>
              <w:rPr>
                <w:color w:val="000000"/>
                <w:sz w:val="19"/>
                <w:szCs w:val="19"/>
              </w:rPr>
              <w:t>/</w:t>
            </w:r>
            <w:r>
              <w:rPr>
                <w:color w:val="000000"/>
                <w:sz w:val="19"/>
                <w:szCs w:val="19"/>
              </w:rPr>
              <w:t>载荷、路线级诊断、离群值、稳健统计。</w:t>
            </w:r>
          </w:p>
        </w:tc>
        <w:tc>
          <w:tcPr>
            <w:tcW w:w="18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7A6A9B31" w14:textId="77777777" w:rsidR="008C5520" w:rsidRDefault="00BE5E16">
            <w:pPr>
              <w:spacing w:line="290" w:lineRule="auto"/>
              <w:rPr>
                <w:rFonts w:hint="eastAsia"/>
              </w:rPr>
            </w:pPr>
            <w:r>
              <w:rPr>
                <w:color w:val="000000"/>
                <w:sz w:val="19"/>
                <w:szCs w:val="19"/>
              </w:rPr>
              <w:t>验证</w:t>
            </w:r>
            <w:r>
              <w:rPr>
                <w:color w:val="000000"/>
                <w:sz w:val="19"/>
                <w:szCs w:val="19"/>
              </w:rPr>
              <w:t xml:space="preserve"> plant </w:t>
            </w:r>
            <w:r>
              <w:rPr>
                <w:color w:val="000000"/>
                <w:sz w:val="19"/>
                <w:szCs w:val="19"/>
              </w:rPr>
              <w:t>与训练</w:t>
            </w:r>
            <w:r>
              <w:rPr>
                <w:color w:val="000000"/>
                <w:sz w:val="19"/>
                <w:szCs w:val="19"/>
              </w:rPr>
              <w:t>/</w:t>
            </w:r>
            <w:r>
              <w:rPr>
                <w:color w:val="000000"/>
                <w:sz w:val="19"/>
                <w:szCs w:val="19"/>
              </w:rPr>
              <w:t>控制模型独立；报告最坏情形、分布和限制。</w:t>
            </w:r>
          </w:p>
        </w:tc>
      </w:tr>
      <w:tr w:rsidR="008C5520" w14:paraId="4A6EAD19" w14:textId="77777777">
        <w:tblPrEx>
          <w:tblCellMar>
            <w:top w:w="0" w:type="dxa"/>
            <w:bottom w:w="0" w:type="dxa"/>
          </w:tblCellMar>
        </w:tblPrEx>
        <w:tc>
          <w:tcPr>
            <w:tcW w:w="8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6EA37786" w14:textId="77777777" w:rsidR="008C5520" w:rsidRDefault="00BE5E16">
            <w:pPr>
              <w:spacing w:line="290" w:lineRule="auto"/>
              <w:rPr>
                <w:rFonts w:hint="eastAsia"/>
              </w:rPr>
            </w:pPr>
            <w:r>
              <w:rPr>
                <w:color w:val="000000"/>
                <w:sz w:val="19"/>
                <w:szCs w:val="19"/>
              </w:rPr>
              <w:t xml:space="preserve">E. </w:t>
            </w:r>
            <w:r>
              <w:rPr>
                <w:color w:val="000000"/>
                <w:sz w:val="19"/>
                <w:szCs w:val="19"/>
              </w:rPr>
              <w:t>控制一致性与实时性</w:t>
            </w:r>
          </w:p>
        </w:tc>
        <w:tc>
          <w:tcPr>
            <w:tcW w:w="23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02D39EE" w14:textId="77777777" w:rsidR="008C5520" w:rsidRDefault="00BE5E16">
            <w:pPr>
              <w:spacing w:line="290" w:lineRule="auto"/>
              <w:rPr>
                <w:rFonts w:hint="eastAsia"/>
              </w:rPr>
            </w:pPr>
            <w:r>
              <w:rPr>
                <w:color w:val="000000"/>
                <w:sz w:val="19"/>
                <w:szCs w:val="19"/>
              </w:rPr>
              <w:t>坡度调度</w:t>
            </w:r>
            <w:r>
              <w:rPr>
                <w:color w:val="000000"/>
                <w:sz w:val="19"/>
                <w:szCs w:val="19"/>
              </w:rPr>
              <w:t>/</w:t>
            </w:r>
            <w:r>
              <w:rPr>
                <w:color w:val="000000"/>
                <w:sz w:val="19"/>
                <w:szCs w:val="19"/>
              </w:rPr>
              <w:t>扰动</w:t>
            </w:r>
            <w:r>
              <w:rPr>
                <w:color w:val="000000"/>
                <w:sz w:val="19"/>
                <w:szCs w:val="19"/>
              </w:rPr>
              <w:t>/</w:t>
            </w:r>
            <w:r>
              <w:rPr>
                <w:color w:val="000000"/>
                <w:sz w:val="19"/>
                <w:szCs w:val="19"/>
              </w:rPr>
              <w:t>前馈统一推导，约束层级，</w:t>
            </w:r>
            <w:r>
              <w:rPr>
                <w:color w:val="000000"/>
                <w:sz w:val="19"/>
                <w:szCs w:val="19"/>
              </w:rPr>
              <w:t xml:space="preserve">QP </w:t>
            </w:r>
            <w:r>
              <w:rPr>
                <w:color w:val="000000"/>
                <w:sz w:val="19"/>
                <w:szCs w:val="19"/>
              </w:rPr>
              <w:t>状态与违反统计，整环延迟。</w:t>
            </w:r>
          </w:p>
        </w:tc>
        <w:tc>
          <w:tcPr>
            <w:tcW w:w="18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21428D1" w14:textId="77777777" w:rsidR="008C5520" w:rsidRDefault="00BE5E16">
            <w:pPr>
              <w:spacing w:line="290" w:lineRule="auto"/>
              <w:rPr>
                <w:rFonts w:hint="eastAsia"/>
              </w:rPr>
            </w:pPr>
            <w:r>
              <w:rPr>
                <w:color w:val="000000"/>
                <w:sz w:val="19"/>
                <w:szCs w:val="19"/>
              </w:rPr>
              <w:t>公式与实现一致；无双重计入；完整闭环满足或如实说明</w:t>
            </w:r>
            <w:r>
              <w:rPr>
                <w:color w:val="000000"/>
                <w:sz w:val="19"/>
                <w:szCs w:val="19"/>
              </w:rPr>
              <w:t xml:space="preserve"> 10 ms </w:t>
            </w:r>
            <w:r>
              <w:rPr>
                <w:color w:val="000000"/>
                <w:sz w:val="19"/>
                <w:szCs w:val="19"/>
              </w:rPr>
              <w:t>周期。</w:t>
            </w:r>
          </w:p>
        </w:tc>
      </w:tr>
      <w:tr w:rsidR="008C5520" w14:paraId="5B9E0DDF" w14:textId="77777777">
        <w:tblPrEx>
          <w:tblCellMar>
            <w:top w:w="0" w:type="dxa"/>
            <w:bottom w:w="0" w:type="dxa"/>
          </w:tblCellMar>
        </w:tblPrEx>
        <w:tc>
          <w:tcPr>
            <w:tcW w:w="8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2F36363" w14:textId="77777777" w:rsidR="008C5520" w:rsidRDefault="00BE5E16">
            <w:pPr>
              <w:spacing w:line="290" w:lineRule="auto"/>
              <w:rPr>
                <w:rFonts w:hint="eastAsia"/>
              </w:rPr>
            </w:pPr>
            <w:r>
              <w:rPr>
                <w:color w:val="000000"/>
                <w:sz w:val="19"/>
                <w:szCs w:val="19"/>
              </w:rPr>
              <w:t xml:space="preserve">F. </w:t>
            </w:r>
            <w:r>
              <w:rPr>
                <w:color w:val="000000"/>
                <w:sz w:val="19"/>
                <w:szCs w:val="19"/>
              </w:rPr>
              <w:t>论文与回复文件</w:t>
            </w:r>
          </w:p>
        </w:tc>
        <w:tc>
          <w:tcPr>
            <w:tcW w:w="23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E38957F" w14:textId="77777777" w:rsidR="008C5520" w:rsidRDefault="00BE5E16">
            <w:pPr>
              <w:spacing w:line="290" w:lineRule="auto"/>
              <w:rPr>
                <w:rFonts w:hint="eastAsia"/>
              </w:rPr>
            </w:pPr>
            <w:r>
              <w:rPr>
                <w:color w:val="000000"/>
                <w:sz w:val="19"/>
                <w:szCs w:val="19"/>
              </w:rPr>
              <w:t>创新对照、文献核验、稳定性措辞、章节导言、逐条回复、黄色高亮与干净稿。</w:t>
            </w:r>
          </w:p>
        </w:tc>
        <w:tc>
          <w:tcPr>
            <w:tcW w:w="185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7BCBFC61" w14:textId="77777777" w:rsidR="008C5520" w:rsidRDefault="00BE5E16">
            <w:pPr>
              <w:spacing w:line="290" w:lineRule="auto"/>
              <w:rPr>
                <w:rFonts w:hint="eastAsia"/>
              </w:rPr>
            </w:pPr>
            <w:r>
              <w:rPr>
                <w:color w:val="000000"/>
                <w:sz w:val="19"/>
                <w:szCs w:val="19"/>
              </w:rPr>
              <w:t>每条意见均有</w:t>
            </w:r>
            <w:r>
              <w:rPr>
                <w:color w:val="000000"/>
                <w:sz w:val="19"/>
                <w:szCs w:val="19"/>
              </w:rPr>
              <w:t>“</w:t>
            </w:r>
            <w:r>
              <w:rPr>
                <w:color w:val="000000"/>
                <w:sz w:val="19"/>
                <w:szCs w:val="19"/>
              </w:rPr>
              <w:t>关切</w:t>
            </w:r>
            <w:r>
              <w:rPr>
                <w:color w:val="000000"/>
                <w:sz w:val="19"/>
                <w:szCs w:val="19"/>
              </w:rPr>
              <w:t>—</w:t>
            </w:r>
            <w:r>
              <w:rPr>
                <w:color w:val="000000"/>
                <w:sz w:val="19"/>
                <w:szCs w:val="19"/>
              </w:rPr>
              <w:t>回复</w:t>
            </w:r>
            <w:r>
              <w:rPr>
                <w:color w:val="000000"/>
                <w:sz w:val="19"/>
                <w:szCs w:val="19"/>
              </w:rPr>
              <w:t>—</w:t>
            </w:r>
            <w:r>
              <w:rPr>
                <w:color w:val="000000"/>
                <w:sz w:val="19"/>
                <w:szCs w:val="19"/>
              </w:rPr>
              <w:t>行动</w:t>
            </w:r>
            <w:r>
              <w:rPr>
                <w:color w:val="000000"/>
                <w:sz w:val="19"/>
                <w:szCs w:val="19"/>
              </w:rPr>
              <w:t>—</w:t>
            </w:r>
            <w:r>
              <w:rPr>
                <w:color w:val="000000"/>
                <w:sz w:val="19"/>
                <w:szCs w:val="19"/>
              </w:rPr>
              <w:t>位置</w:t>
            </w:r>
            <w:r>
              <w:rPr>
                <w:color w:val="000000"/>
                <w:sz w:val="19"/>
                <w:szCs w:val="19"/>
              </w:rPr>
              <w:t>/</w:t>
            </w:r>
            <w:r>
              <w:rPr>
                <w:color w:val="000000"/>
                <w:sz w:val="19"/>
                <w:szCs w:val="19"/>
              </w:rPr>
              <w:t>证据</w:t>
            </w:r>
            <w:r>
              <w:rPr>
                <w:color w:val="000000"/>
                <w:sz w:val="19"/>
                <w:szCs w:val="19"/>
              </w:rPr>
              <w:t>”</w:t>
            </w:r>
            <w:r>
              <w:rPr>
                <w:color w:val="000000"/>
                <w:sz w:val="19"/>
                <w:szCs w:val="19"/>
              </w:rPr>
              <w:t>；所有修改均在高亮稿中可见。</w:t>
            </w:r>
          </w:p>
        </w:tc>
      </w:tr>
    </w:tbl>
    <w:p w14:paraId="59870EEF" w14:textId="77777777" w:rsidR="008C5520" w:rsidRDefault="00BE5E16">
      <w:pPr>
        <w:pStyle w:val="2"/>
        <w:spacing w:before="160" w:after="120"/>
        <w:rPr>
          <w:rFonts w:hint="eastAsia"/>
        </w:rPr>
      </w:pPr>
      <w:r>
        <w:t xml:space="preserve">7.1 </w:t>
      </w:r>
      <w:r>
        <w:t>建议的证据目录</w:t>
      </w:r>
    </w:p>
    <w:p w14:paraId="2D54C862" w14:textId="77777777" w:rsidR="008C5520" w:rsidRDefault="00BE5E16">
      <w:pPr>
        <w:pStyle w:val="a4"/>
        <w:numPr>
          <w:ilvl w:val="0"/>
          <w:numId w:val="2"/>
        </w:numPr>
        <w:spacing w:after="80" w:line="320" w:lineRule="auto"/>
        <w:ind w:left="520" w:hanging="260"/>
        <w:rPr>
          <w:rFonts w:hint="eastAsia"/>
        </w:rPr>
      </w:pPr>
      <w:r>
        <w:rPr>
          <w:color w:val="000000"/>
        </w:rPr>
        <w:t>每条意见建立唯一编号：</w:t>
      </w:r>
      <w:r>
        <w:rPr>
          <w:color w:val="000000"/>
        </w:rPr>
        <w:t>R1-C01…R1-C06</w:t>
      </w:r>
      <w:r>
        <w:rPr>
          <w:color w:val="000000"/>
        </w:rPr>
        <w:t>、</w:t>
      </w:r>
      <w:r>
        <w:rPr>
          <w:color w:val="000000"/>
        </w:rPr>
        <w:t>R2-C01…R2-C35</w:t>
      </w:r>
      <w:r>
        <w:rPr>
          <w:color w:val="000000"/>
        </w:rPr>
        <w:t>。</w:t>
      </w:r>
    </w:p>
    <w:p w14:paraId="28981E1C" w14:textId="77777777" w:rsidR="008C5520" w:rsidRDefault="00BE5E16">
      <w:pPr>
        <w:pStyle w:val="a4"/>
        <w:numPr>
          <w:ilvl w:val="0"/>
          <w:numId w:val="2"/>
        </w:numPr>
        <w:spacing w:after="80" w:line="320" w:lineRule="auto"/>
        <w:ind w:left="520" w:hanging="260"/>
        <w:rPr>
          <w:rFonts w:hint="eastAsia"/>
        </w:rPr>
      </w:pPr>
      <w:r>
        <w:rPr>
          <w:color w:val="000000"/>
        </w:rPr>
        <w:t>每项实验保留：配置、随机种子、输入参数、原始结果、汇总脚本、图表和运行日志。</w:t>
      </w:r>
    </w:p>
    <w:p w14:paraId="6EC7EF16" w14:textId="77777777" w:rsidR="008C5520" w:rsidRDefault="00BE5E16">
      <w:pPr>
        <w:pStyle w:val="a4"/>
        <w:numPr>
          <w:ilvl w:val="0"/>
          <w:numId w:val="2"/>
        </w:numPr>
        <w:spacing w:after="80" w:line="320" w:lineRule="auto"/>
        <w:ind w:left="520" w:hanging="260"/>
        <w:rPr>
          <w:rFonts w:hint="eastAsia"/>
        </w:rPr>
      </w:pPr>
      <w:r>
        <w:rPr>
          <w:color w:val="000000"/>
        </w:rPr>
        <w:t>每次修改记录论文页码</w:t>
      </w:r>
      <w:r>
        <w:rPr>
          <w:color w:val="000000"/>
        </w:rPr>
        <w:t>/</w:t>
      </w:r>
      <w:r>
        <w:rPr>
          <w:color w:val="000000"/>
        </w:rPr>
        <w:t>行号、公式</w:t>
      </w:r>
      <w:r>
        <w:rPr>
          <w:color w:val="000000"/>
        </w:rPr>
        <w:t>/</w:t>
      </w:r>
      <w:r>
        <w:rPr>
          <w:color w:val="000000"/>
        </w:rPr>
        <w:t>表</w:t>
      </w:r>
      <w:r>
        <w:rPr>
          <w:color w:val="000000"/>
        </w:rPr>
        <w:t>/</w:t>
      </w:r>
      <w:r>
        <w:rPr>
          <w:color w:val="000000"/>
        </w:rPr>
        <w:t>图编号、代码位置和结果文件。</w:t>
      </w:r>
    </w:p>
    <w:p w14:paraId="072C13CF" w14:textId="77777777" w:rsidR="008C5520" w:rsidRDefault="00BE5E16">
      <w:pPr>
        <w:pStyle w:val="a4"/>
        <w:numPr>
          <w:ilvl w:val="0"/>
          <w:numId w:val="2"/>
        </w:numPr>
        <w:spacing w:after="80" w:line="320" w:lineRule="auto"/>
        <w:ind w:left="520" w:hanging="260"/>
        <w:rPr>
          <w:rFonts w:hint="eastAsia"/>
        </w:rPr>
      </w:pPr>
      <w:r>
        <w:rPr>
          <w:color w:val="000000"/>
        </w:rPr>
        <w:t>所有</w:t>
      </w:r>
      <w:r>
        <w:rPr>
          <w:color w:val="000000"/>
        </w:rPr>
        <w:t>“</w:t>
      </w:r>
      <w:r>
        <w:rPr>
          <w:color w:val="000000"/>
        </w:rPr>
        <w:t>未做</w:t>
      </w:r>
      <w:r>
        <w:rPr>
          <w:color w:val="000000"/>
        </w:rPr>
        <w:t>”</w:t>
      </w:r>
      <w:r>
        <w:rPr>
          <w:color w:val="000000"/>
        </w:rPr>
        <w:t>的要求必须有明确理由和相应的结论收缩，不能只在回复信中解释而正文不改。</w:t>
      </w:r>
    </w:p>
    <w:p w14:paraId="4100A692" w14:textId="77777777" w:rsidR="008C5520" w:rsidRDefault="00BE5E16">
      <w:pPr>
        <w:pStyle w:val="1"/>
        <w:pageBreakBefore/>
        <w:spacing w:before="220" w:after="120"/>
        <w:rPr>
          <w:rFonts w:hint="eastAsia"/>
        </w:rPr>
      </w:pPr>
      <w:r>
        <w:lastRenderedPageBreak/>
        <w:t>八、逐条回复的统一写法</w:t>
      </w:r>
    </w:p>
    <w:p w14:paraId="5102F59F" w14:textId="77777777" w:rsidR="008C5520" w:rsidRDefault="00BE5E16">
      <w:pPr>
        <w:spacing w:after="110"/>
        <w:ind w:firstLine="420"/>
        <w:jc w:val="both"/>
        <w:rPr>
          <w:rFonts w:hint="eastAsia"/>
        </w:rPr>
      </w:pPr>
      <w:r>
        <w:rPr>
          <w:color w:val="000000"/>
        </w:rPr>
        <w:t xml:space="preserve">IEEE </w:t>
      </w:r>
      <w:r>
        <w:rPr>
          <w:color w:val="000000"/>
        </w:rPr>
        <w:t>提供的回复模板要求每条意见至少包含以下三部分。后续应在</w:t>
      </w:r>
      <w:r>
        <w:rPr>
          <w:color w:val="000000"/>
        </w:rPr>
        <w:t>“02_</w:t>
      </w:r>
      <w:r>
        <w:rPr>
          <w:color w:val="000000"/>
        </w:rPr>
        <w:t>逐条回复</w:t>
      </w:r>
      <w:r>
        <w:rPr>
          <w:color w:val="000000"/>
        </w:rPr>
        <w:t>”</w:t>
      </w:r>
      <w:r>
        <w:rPr>
          <w:color w:val="000000"/>
        </w:rPr>
        <w:t>目录中按此结构编写正式回复。</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2726"/>
        <w:gridCol w:w="7010"/>
      </w:tblGrid>
      <w:tr w:rsidR="008C5520" w14:paraId="5802ABE2" w14:textId="77777777">
        <w:tblPrEx>
          <w:tblCellMar>
            <w:top w:w="0" w:type="dxa"/>
            <w:bottom w:w="0" w:type="dxa"/>
          </w:tblCellMar>
        </w:tblPrEx>
        <w:trPr>
          <w:tblHeader/>
        </w:trPr>
        <w:tc>
          <w:tcPr>
            <w:tcW w:w="14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7995B2A5" w14:textId="77777777" w:rsidR="008C5520" w:rsidRDefault="00BE5E16">
            <w:pPr>
              <w:spacing w:line="290" w:lineRule="auto"/>
              <w:jc w:val="center"/>
              <w:rPr>
                <w:rFonts w:hint="eastAsia"/>
              </w:rPr>
            </w:pPr>
            <w:r>
              <w:rPr>
                <w:b/>
                <w:bCs/>
                <w:color w:val="FFFFFF"/>
                <w:sz w:val="19"/>
                <w:szCs w:val="19"/>
              </w:rPr>
              <w:t>字段</w:t>
            </w:r>
          </w:p>
        </w:tc>
        <w:tc>
          <w:tcPr>
            <w:tcW w:w="36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7EF354A1" w14:textId="77777777" w:rsidR="008C5520" w:rsidRDefault="00BE5E16">
            <w:pPr>
              <w:spacing w:line="290" w:lineRule="auto"/>
              <w:jc w:val="center"/>
              <w:rPr>
                <w:rFonts w:hint="eastAsia"/>
              </w:rPr>
            </w:pPr>
            <w:r>
              <w:rPr>
                <w:b/>
                <w:bCs/>
                <w:color w:val="FFFFFF"/>
                <w:sz w:val="19"/>
                <w:szCs w:val="19"/>
              </w:rPr>
              <w:t>写作要求</w:t>
            </w:r>
          </w:p>
        </w:tc>
      </w:tr>
      <w:tr w:rsidR="008C5520" w14:paraId="53AC3890" w14:textId="77777777">
        <w:tblPrEx>
          <w:tblCellMar>
            <w:top w:w="0" w:type="dxa"/>
            <w:bottom w:w="0" w:type="dxa"/>
          </w:tblCellMar>
        </w:tblPrEx>
        <w:tc>
          <w:tcPr>
            <w:tcW w:w="14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7988DFA1" w14:textId="77777777" w:rsidR="008C5520" w:rsidRDefault="00BE5E16">
            <w:pPr>
              <w:spacing w:line="290" w:lineRule="auto"/>
              <w:rPr>
                <w:rFonts w:hint="eastAsia"/>
              </w:rPr>
            </w:pPr>
            <w:r>
              <w:rPr>
                <w:color w:val="000000"/>
                <w:sz w:val="19"/>
                <w:szCs w:val="19"/>
              </w:rPr>
              <w:t>Reviewer #X, Concern #Y</w:t>
            </w:r>
          </w:p>
        </w:tc>
        <w:tc>
          <w:tcPr>
            <w:tcW w:w="36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2F81E39" w14:textId="77777777" w:rsidR="008C5520" w:rsidRDefault="00BE5E16">
            <w:pPr>
              <w:spacing w:line="290" w:lineRule="auto"/>
              <w:rPr>
                <w:rFonts w:hint="eastAsia"/>
              </w:rPr>
            </w:pPr>
            <w:r>
              <w:rPr>
                <w:color w:val="000000"/>
                <w:sz w:val="19"/>
                <w:szCs w:val="19"/>
              </w:rPr>
              <w:t>完整复述或准确概括审稿人的关切，保留公式、数字和限定词。</w:t>
            </w:r>
          </w:p>
        </w:tc>
      </w:tr>
      <w:tr w:rsidR="008C5520" w14:paraId="7CA0DFAB" w14:textId="77777777">
        <w:tblPrEx>
          <w:tblCellMar>
            <w:top w:w="0" w:type="dxa"/>
            <w:bottom w:w="0" w:type="dxa"/>
          </w:tblCellMar>
        </w:tblPrEx>
        <w:tc>
          <w:tcPr>
            <w:tcW w:w="14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1102CD93" w14:textId="77777777" w:rsidR="008C5520" w:rsidRDefault="00BE5E16">
            <w:pPr>
              <w:spacing w:line="290" w:lineRule="auto"/>
              <w:rPr>
                <w:rFonts w:hint="eastAsia"/>
              </w:rPr>
            </w:pPr>
            <w:r>
              <w:rPr>
                <w:color w:val="000000"/>
                <w:sz w:val="19"/>
                <w:szCs w:val="19"/>
              </w:rPr>
              <w:t>Author response</w:t>
            </w:r>
          </w:p>
        </w:tc>
        <w:tc>
          <w:tcPr>
            <w:tcW w:w="36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33952B0A" w14:textId="77777777" w:rsidR="008C5520" w:rsidRDefault="00BE5E16">
            <w:pPr>
              <w:spacing w:line="290" w:lineRule="auto"/>
              <w:rPr>
                <w:rFonts w:hint="eastAsia"/>
              </w:rPr>
            </w:pPr>
            <w:r>
              <w:rPr>
                <w:color w:val="000000"/>
                <w:sz w:val="19"/>
                <w:szCs w:val="19"/>
              </w:rPr>
              <w:t>先直接回答是否同意及原因，再给出理论、数据、对照实验或文献证据。</w:t>
            </w:r>
          </w:p>
        </w:tc>
      </w:tr>
      <w:tr w:rsidR="008C5520" w14:paraId="3B82CAB8" w14:textId="77777777">
        <w:tblPrEx>
          <w:tblCellMar>
            <w:top w:w="0" w:type="dxa"/>
            <w:bottom w:w="0" w:type="dxa"/>
          </w:tblCellMar>
        </w:tblPrEx>
        <w:tc>
          <w:tcPr>
            <w:tcW w:w="14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2B19670" w14:textId="77777777" w:rsidR="008C5520" w:rsidRDefault="00BE5E16">
            <w:pPr>
              <w:spacing w:line="290" w:lineRule="auto"/>
              <w:rPr>
                <w:rFonts w:hint="eastAsia"/>
              </w:rPr>
            </w:pPr>
            <w:r>
              <w:rPr>
                <w:color w:val="000000"/>
                <w:sz w:val="19"/>
                <w:szCs w:val="19"/>
              </w:rPr>
              <w:t>Author action</w:t>
            </w:r>
          </w:p>
        </w:tc>
        <w:tc>
          <w:tcPr>
            <w:tcW w:w="36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31E50F25" w14:textId="77777777" w:rsidR="008C5520" w:rsidRDefault="00BE5E16">
            <w:pPr>
              <w:spacing w:line="290" w:lineRule="auto"/>
              <w:rPr>
                <w:rFonts w:hint="eastAsia"/>
              </w:rPr>
            </w:pPr>
            <w:r>
              <w:rPr>
                <w:color w:val="000000"/>
                <w:sz w:val="19"/>
                <w:szCs w:val="19"/>
              </w:rPr>
              <w:t>明确写出改了什么、位于论文何处、增加了哪些实验</w:t>
            </w:r>
            <w:r>
              <w:rPr>
                <w:color w:val="000000"/>
                <w:sz w:val="19"/>
                <w:szCs w:val="19"/>
              </w:rPr>
              <w:t>/</w:t>
            </w:r>
            <w:r>
              <w:rPr>
                <w:color w:val="000000"/>
                <w:sz w:val="19"/>
                <w:szCs w:val="19"/>
              </w:rPr>
              <w:t>图表</w:t>
            </w:r>
            <w:r>
              <w:rPr>
                <w:color w:val="000000"/>
                <w:sz w:val="19"/>
                <w:szCs w:val="19"/>
              </w:rPr>
              <w:t>/</w:t>
            </w:r>
            <w:r>
              <w:rPr>
                <w:color w:val="000000"/>
                <w:sz w:val="19"/>
                <w:szCs w:val="19"/>
              </w:rPr>
              <w:t>公式；若未按建议做，说明替代措施和结论收缩。</w:t>
            </w:r>
          </w:p>
        </w:tc>
      </w:tr>
    </w:tbl>
    <w:p w14:paraId="23A7CB3D" w14:textId="77777777" w:rsidR="008C5520" w:rsidRDefault="008C5520">
      <w:pPr>
        <w:spacing w:after="40"/>
        <w:jc w:val="both"/>
        <w:rPr>
          <w:rFonts w:hint="eastAsia"/>
        </w:rPr>
      </w:pP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C5520" w14:paraId="0717004F" w14:textId="77777777">
        <w:tblPrEx>
          <w:tblCellMar>
            <w:top w:w="0" w:type="dxa"/>
            <w:bottom w:w="0" w:type="dxa"/>
          </w:tblCellMar>
        </w:tblPrEx>
        <w:tc>
          <w:tcPr>
            <w:tcW w:w="0" w:type="auto"/>
            <w:tcBorders>
              <w:top w:val="single" w:sz="4" w:space="0" w:color="B7C9D6"/>
              <w:left w:val="single" w:sz="4" w:space="0" w:color="B7C9D6"/>
              <w:bottom w:val="single" w:sz="4" w:space="0" w:color="B7C9D6"/>
              <w:right w:val="single" w:sz="4" w:space="0" w:color="B7C9D6"/>
            </w:tcBorders>
            <w:shd w:val="clear" w:color="auto" w:fill="FFF2CC"/>
            <w:tcMar>
              <w:top w:w="120" w:type="dxa"/>
              <w:left w:w="180" w:type="dxa"/>
              <w:bottom w:w="120" w:type="dxa"/>
              <w:right w:w="180" w:type="dxa"/>
            </w:tcMar>
          </w:tcPr>
          <w:p w14:paraId="772CA731" w14:textId="77777777" w:rsidR="008C5520" w:rsidRDefault="00BE5E16">
            <w:pPr>
              <w:spacing w:line="320" w:lineRule="auto"/>
              <w:jc w:val="both"/>
              <w:rPr>
                <w:rFonts w:hint="eastAsia"/>
              </w:rPr>
            </w:pPr>
            <w:r>
              <w:rPr>
                <w:b/>
                <w:bCs/>
                <w:color w:val="9C6500"/>
              </w:rPr>
              <w:t>建议：</w:t>
            </w:r>
            <w:r>
              <w:rPr>
                <w:color w:val="000000"/>
              </w:rPr>
              <w:t>正式回复应避免承诺尚未完成的实验。每条回复在定稿前必须能指向实际修改位置和可复核证据。</w:t>
            </w:r>
          </w:p>
        </w:tc>
      </w:tr>
    </w:tbl>
    <w:p w14:paraId="187393C5" w14:textId="77777777" w:rsidR="008C5520" w:rsidRDefault="00BE5E16">
      <w:pPr>
        <w:pStyle w:val="2"/>
        <w:spacing w:before="160" w:after="120"/>
        <w:rPr>
          <w:rFonts w:hint="eastAsia"/>
        </w:rPr>
      </w:pPr>
      <w:r>
        <w:t xml:space="preserve">8.1 </w:t>
      </w:r>
      <w:r>
        <w:t>内部跟踪表建议字段</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1266"/>
        <w:gridCol w:w="1655"/>
        <w:gridCol w:w="2337"/>
        <w:gridCol w:w="1947"/>
        <w:gridCol w:w="1363"/>
        <w:gridCol w:w="1168"/>
      </w:tblGrid>
      <w:tr w:rsidR="008C5520" w14:paraId="566A9BFF" w14:textId="77777777">
        <w:tblPrEx>
          <w:tblCellMar>
            <w:top w:w="0" w:type="dxa"/>
            <w:bottom w:w="0" w:type="dxa"/>
          </w:tblCellMar>
        </w:tblPrEx>
        <w:trPr>
          <w:tblHeader/>
        </w:trPr>
        <w:tc>
          <w:tcPr>
            <w:tcW w:w="6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24F8A178" w14:textId="77777777" w:rsidR="008C5520" w:rsidRDefault="00BE5E16">
            <w:pPr>
              <w:spacing w:line="290" w:lineRule="auto"/>
              <w:jc w:val="center"/>
              <w:rPr>
                <w:rFonts w:hint="eastAsia"/>
              </w:rPr>
            </w:pPr>
            <w:r>
              <w:rPr>
                <w:b/>
                <w:bCs/>
                <w:color w:val="FFFFFF"/>
                <w:sz w:val="19"/>
                <w:szCs w:val="19"/>
              </w:rPr>
              <w:t>编号</w:t>
            </w:r>
          </w:p>
        </w:tc>
        <w:tc>
          <w:tcPr>
            <w:tcW w:w="85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71573535" w14:textId="77777777" w:rsidR="008C5520" w:rsidRDefault="00BE5E16">
            <w:pPr>
              <w:spacing w:line="290" w:lineRule="auto"/>
              <w:jc w:val="center"/>
              <w:rPr>
                <w:rFonts w:hint="eastAsia"/>
              </w:rPr>
            </w:pPr>
            <w:r>
              <w:rPr>
                <w:b/>
                <w:bCs/>
                <w:color w:val="FFFFFF"/>
                <w:sz w:val="19"/>
                <w:szCs w:val="19"/>
              </w:rPr>
              <w:t>问题类别</w:t>
            </w:r>
          </w:p>
        </w:tc>
        <w:tc>
          <w:tcPr>
            <w:tcW w:w="12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39A1306F" w14:textId="77777777" w:rsidR="008C5520" w:rsidRDefault="00BE5E16">
            <w:pPr>
              <w:spacing w:line="290" w:lineRule="auto"/>
              <w:jc w:val="center"/>
              <w:rPr>
                <w:rFonts w:hint="eastAsia"/>
              </w:rPr>
            </w:pPr>
            <w:r>
              <w:rPr>
                <w:b/>
                <w:bCs/>
                <w:color w:val="FFFFFF"/>
                <w:sz w:val="19"/>
                <w:szCs w:val="19"/>
              </w:rPr>
              <w:t>责任内容</w:t>
            </w:r>
          </w:p>
        </w:tc>
        <w:tc>
          <w:tcPr>
            <w:tcW w:w="10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77CBE7AA" w14:textId="77777777" w:rsidR="008C5520" w:rsidRDefault="00BE5E16">
            <w:pPr>
              <w:spacing w:line="290" w:lineRule="auto"/>
              <w:jc w:val="center"/>
              <w:rPr>
                <w:rFonts w:hint="eastAsia"/>
              </w:rPr>
            </w:pPr>
            <w:r>
              <w:rPr>
                <w:b/>
                <w:bCs/>
                <w:color w:val="FFFFFF"/>
                <w:sz w:val="19"/>
                <w:szCs w:val="19"/>
              </w:rPr>
              <w:t>证据</w:t>
            </w:r>
            <w:r>
              <w:rPr>
                <w:b/>
                <w:bCs/>
                <w:color w:val="FFFFFF"/>
                <w:sz w:val="19"/>
                <w:szCs w:val="19"/>
              </w:rPr>
              <w:t>/</w:t>
            </w:r>
            <w:r>
              <w:rPr>
                <w:b/>
                <w:bCs/>
                <w:color w:val="FFFFFF"/>
                <w:sz w:val="19"/>
                <w:szCs w:val="19"/>
              </w:rPr>
              <w:t>输出</w:t>
            </w:r>
          </w:p>
        </w:tc>
        <w:tc>
          <w:tcPr>
            <w:tcW w:w="7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648360B0" w14:textId="77777777" w:rsidR="008C5520" w:rsidRDefault="00BE5E16">
            <w:pPr>
              <w:spacing w:line="290" w:lineRule="auto"/>
              <w:jc w:val="center"/>
              <w:rPr>
                <w:rFonts w:hint="eastAsia"/>
              </w:rPr>
            </w:pPr>
            <w:r>
              <w:rPr>
                <w:b/>
                <w:bCs/>
                <w:color w:val="FFFFFF"/>
                <w:sz w:val="19"/>
                <w:szCs w:val="19"/>
              </w:rPr>
              <w:t>论文位置</w:t>
            </w:r>
          </w:p>
        </w:tc>
        <w:tc>
          <w:tcPr>
            <w:tcW w:w="6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1F212A90" w14:textId="77777777" w:rsidR="008C5520" w:rsidRDefault="00BE5E16">
            <w:pPr>
              <w:spacing w:line="290" w:lineRule="auto"/>
              <w:jc w:val="center"/>
              <w:rPr>
                <w:rFonts w:hint="eastAsia"/>
              </w:rPr>
            </w:pPr>
            <w:r>
              <w:rPr>
                <w:b/>
                <w:bCs/>
                <w:color w:val="FFFFFF"/>
                <w:sz w:val="19"/>
                <w:szCs w:val="19"/>
              </w:rPr>
              <w:t>状态</w:t>
            </w:r>
          </w:p>
        </w:tc>
      </w:tr>
      <w:tr w:rsidR="008C5520" w14:paraId="2CA0C913" w14:textId="77777777">
        <w:tblPrEx>
          <w:tblCellMar>
            <w:top w:w="0" w:type="dxa"/>
            <w:bottom w:w="0" w:type="dxa"/>
          </w:tblCellMar>
        </w:tblPrEx>
        <w:tc>
          <w:tcPr>
            <w:tcW w:w="6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2EF5CA1" w14:textId="77777777" w:rsidR="008C5520" w:rsidRDefault="00BE5E16">
            <w:pPr>
              <w:spacing w:line="290" w:lineRule="auto"/>
              <w:rPr>
                <w:rFonts w:hint="eastAsia"/>
              </w:rPr>
            </w:pPr>
            <w:r>
              <w:rPr>
                <w:color w:val="000000"/>
                <w:sz w:val="19"/>
                <w:szCs w:val="19"/>
              </w:rPr>
              <w:t>R?-C??</w:t>
            </w:r>
          </w:p>
        </w:tc>
        <w:tc>
          <w:tcPr>
            <w:tcW w:w="85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3C161E8" w14:textId="77777777" w:rsidR="008C5520" w:rsidRDefault="00BE5E16">
            <w:pPr>
              <w:spacing w:line="290" w:lineRule="auto"/>
              <w:rPr>
                <w:rFonts w:hint="eastAsia"/>
              </w:rPr>
            </w:pPr>
            <w:r>
              <w:rPr>
                <w:color w:val="000000"/>
                <w:sz w:val="19"/>
                <w:szCs w:val="19"/>
              </w:rPr>
              <w:t>模型</w:t>
            </w:r>
            <w:r>
              <w:rPr>
                <w:color w:val="000000"/>
                <w:sz w:val="19"/>
                <w:szCs w:val="19"/>
              </w:rPr>
              <w:t>/</w:t>
            </w:r>
            <w:r>
              <w:rPr>
                <w:color w:val="000000"/>
                <w:sz w:val="19"/>
                <w:szCs w:val="19"/>
              </w:rPr>
              <w:t>数据</w:t>
            </w:r>
            <w:r>
              <w:rPr>
                <w:color w:val="000000"/>
                <w:sz w:val="19"/>
                <w:szCs w:val="19"/>
              </w:rPr>
              <w:t>/</w:t>
            </w:r>
            <w:r>
              <w:rPr>
                <w:color w:val="000000"/>
                <w:sz w:val="19"/>
                <w:szCs w:val="19"/>
              </w:rPr>
              <w:t>实验</w:t>
            </w:r>
            <w:r>
              <w:rPr>
                <w:color w:val="000000"/>
                <w:sz w:val="19"/>
                <w:szCs w:val="19"/>
              </w:rPr>
              <w:t>/</w:t>
            </w:r>
            <w:r>
              <w:rPr>
                <w:color w:val="000000"/>
                <w:sz w:val="19"/>
                <w:szCs w:val="19"/>
              </w:rPr>
              <w:t>文字</w:t>
            </w:r>
          </w:p>
        </w:tc>
        <w:tc>
          <w:tcPr>
            <w:tcW w:w="12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6CD5DDD1" w14:textId="77777777" w:rsidR="008C5520" w:rsidRDefault="00BE5E16">
            <w:pPr>
              <w:spacing w:line="290" w:lineRule="auto"/>
              <w:rPr>
                <w:rFonts w:hint="eastAsia"/>
              </w:rPr>
            </w:pPr>
            <w:r>
              <w:rPr>
                <w:color w:val="000000"/>
                <w:sz w:val="19"/>
                <w:szCs w:val="19"/>
              </w:rPr>
              <w:t>待填写</w:t>
            </w:r>
          </w:p>
        </w:tc>
        <w:tc>
          <w:tcPr>
            <w:tcW w:w="1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63AB8147" w14:textId="77777777" w:rsidR="008C5520" w:rsidRDefault="00BE5E16">
            <w:pPr>
              <w:spacing w:line="290" w:lineRule="auto"/>
              <w:rPr>
                <w:rFonts w:hint="eastAsia"/>
              </w:rPr>
            </w:pPr>
            <w:r>
              <w:rPr>
                <w:color w:val="000000"/>
                <w:sz w:val="19"/>
                <w:szCs w:val="19"/>
              </w:rPr>
              <w:t>待填写</w:t>
            </w:r>
          </w:p>
        </w:tc>
        <w:tc>
          <w:tcPr>
            <w:tcW w:w="7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458B5F6D" w14:textId="77777777" w:rsidR="008C5520" w:rsidRDefault="00BE5E16">
            <w:pPr>
              <w:spacing w:line="290" w:lineRule="auto"/>
              <w:rPr>
                <w:rFonts w:hint="eastAsia"/>
              </w:rPr>
            </w:pPr>
            <w:r>
              <w:rPr>
                <w:color w:val="000000"/>
                <w:sz w:val="19"/>
                <w:szCs w:val="19"/>
              </w:rPr>
              <w:t>待填写</w:t>
            </w:r>
          </w:p>
        </w:tc>
        <w:tc>
          <w:tcPr>
            <w:tcW w:w="6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0ED8C240" w14:textId="77777777" w:rsidR="008C5520" w:rsidRDefault="00BE5E16">
            <w:pPr>
              <w:spacing w:line="290" w:lineRule="auto"/>
              <w:rPr>
                <w:rFonts w:hint="eastAsia"/>
              </w:rPr>
            </w:pPr>
            <w:r>
              <w:rPr>
                <w:color w:val="000000"/>
                <w:sz w:val="19"/>
                <w:szCs w:val="19"/>
              </w:rPr>
              <w:t>未开始</w:t>
            </w:r>
            <w:r>
              <w:rPr>
                <w:color w:val="000000"/>
                <w:sz w:val="19"/>
                <w:szCs w:val="19"/>
              </w:rPr>
              <w:t>/</w:t>
            </w:r>
            <w:r>
              <w:rPr>
                <w:color w:val="000000"/>
                <w:sz w:val="19"/>
                <w:szCs w:val="19"/>
              </w:rPr>
              <w:t>进行中</w:t>
            </w:r>
            <w:r>
              <w:rPr>
                <w:color w:val="000000"/>
                <w:sz w:val="19"/>
                <w:szCs w:val="19"/>
              </w:rPr>
              <w:t>/</w:t>
            </w:r>
            <w:r>
              <w:rPr>
                <w:color w:val="000000"/>
                <w:sz w:val="19"/>
                <w:szCs w:val="19"/>
              </w:rPr>
              <w:t>已核验</w:t>
            </w:r>
          </w:p>
        </w:tc>
      </w:tr>
    </w:tbl>
    <w:p w14:paraId="2F4E9DBE" w14:textId="77777777" w:rsidR="008C5520" w:rsidRDefault="00BE5E16">
      <w:pPr>
        <w:pStyle w:val="1"/>
        <w:pageBreakBefore/>
        <w:spacing w:before="220" w:after="120"/>
        <w:rPr>
          <w:rFonts w:hint="eastAsia"/>
        </w:rPr>
      </w:pPr>
      <w:r>
        <w:lastRenderedPageBreak/>
        <w:t>九、材料来源与完整性记录</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3894"/>
        <w:gridCol w:w="5842"/>
      </w:tblGrid>
      <w:tr w:rsidR="008C5520" w14:paraId="236C8C1A" w14:textId="77777777">
        <w:tblPrEx>
          <w:tblCellMar>
            <w:top w:w="0" w:type="dxa"/>
            <w:bottom w:w="0" w:type="dxa"/>
          </w:tblCellMar>
        </w:tblPrEx>
        <w:trPr>
          <w:tblHeader/>
        </w:trPr>
        <w:tc>
          <w:tcPr>
            <w:tcW w:w="20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76065292" w14:textId="77777777" w:rsidR="008C5520" w:rsidRDefault="00BE5E16">
            <w:pPr>
              <w:spacing w:line="290" w:lineRule="auto"/>
              <w:jc w:val="center"/>
              <w:rPr>
                <w:rFonts w:hint="eastAsia"/>
              </w:rPr>
            </w:pPr>
            <w:r>
              <w:rPr>
                <w:b/>
                <w:bCs/>
                <w:color w:val="FFFFFF"/>
                <w:sz w:val="19"/>
                <w:szCs w:val="19"/>
              </w:rPr>
              <w:t>原始文件</w:t>
            </w:r>
          </w:p>
        </w:tc>
        <w:tc>
          <w:tcPr>
            <w:tcW w:w="3000" w:type="pct"/>
            <w:tcBorders>
              <w:top w:val="single" w:sz="4" w:space="0" w:color="B7C9D6"/>
              <w:left w:val="single" w:sz="4" w:space="0" w:color="B7C9D6"/>
              <w:bottom w:val="single" w:sz="4" w:space="0" w:color="B7C9D6"/>
              <w:right w:val="single" w:sz="4" w:space="0" w:color="B7C9D6"/>
            </w:tcBorders>
            <w:shd w:val="clear" w:color="auto" w:fill="17365D"/>
            <w:tcMar>
              <w:top w:w="90" w:type="dxa"/>
              <w:left w:w="110" w:type="dxa"/>
              <w:bottom w:w="90" w:type="dxa"/>
              <w:right w:w="110" w:type="dxa"/>
            </w:tcMar>
            <w:vAlign w:val="center"/>
          </w:tcPr>
          <w:p w14:paraId="6B9A8EFE" w14:textId="77777777" w:rsidR="008C5520" w:rsidRDefault="00BE5E16">
            <w:pPr>
              <w:spacing w:line="290" w:lineRule="auto"/>
              <w:jc w:val="center"/>
              <w:rPr>
                <w:rFonts w:hint="eastAsia"/>
              </w:rPr>
            </w:pPr>
            <w:r>
              <w:rPr>
                <w:b/>
                <w:bCs/>
                <w:color w:val="FFFFFF"/>
                <w:sz w:val="19"/>
                <w:szCs w:val="19"/>
              </w:rPr>
              <w:t>读取结果与用途</w:t>
            </w:r>
          </w:p>
        </w:tc>
      </w:tr>
      <w:tr w:rsidR="008C5520" w14:paraId="3D41EE80" w14:textId="77777777">
        <w:tblPrEx>
          <w:tblCellMar>
            <w:top w:w="0" w:type="dxa"/>
            <w:bottom w:w="0" w:type="dxa"/>
          </w:tblCellMar>
        </w:tblPrEx>
        <w:tc>
          <w:tcPr>
            <w:tcW w:w="2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6479598" w14:textId="77777777" w:rsidR="008C5520" w:rsidRDefault="00BE5E16">
            <w:pPr>
              <w:spacing w:line="290" w:lineRule="auto"/>
              <w:rPr>
                <w:rFonts w:hint="eastAsia"/>
              </w:rPr>
            </w:pPr>
            <w:r>
              <w:rPr>
                <w:color w:val="000000"/>
                <w:sz w:val="19"/>
                <w:szCs w:val="19"/>
              </w:rPr>
              <w:t>返稿邮件</w:t>
            </w:r>
            <w:r>
              <w:rPr>
                <w:color w:val="000000"/>
                <w:sz w:val="19"/>
                <w:szCs w:val="19"/>
              </w:rPr>
              <w:t>.eml</w:t>
            </w:r>
          </w:p>
        </w:tc>
        <w:tc>
          <w:tcPr>
            <w:tcW w:w="3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3429B05" w14:textId="77777777" w:rsidR="008C5520" w:rsidRDefault="00BE5E16">
            <w:pPr>
              <w:spacing w:line="290" w:lineRule="auto"/>
              <w:rPr>
                <w:rFonts w:hint="eastAsia"/>
              </w:rPr>
            </w:pPr>
            <w:r>
              <w:rPr>
                <w:color w:val="000000"/>
                <w:sz w:val="19"/>
                <w:szCs w:val="19"/>
              </w:rPr>
              <w:t>编辑决定、一次性重投规则、三类必交文件、参考文献与作者变更政策；邮件日期为</w:t>
            </w:r>
            <w:r>
              <w:rPr>
                <w:color w:val="000000"/>
                <w:sz w:val="19"/>
                <w:szCs w:val="19"/>
              </w:rPr>
              <w:t xml:space="preserve"> 2026-09-15</w:t>
            </w:r>
            <w:r>
              <w:rPr>
                <w:color w:val="000000"/>
                <w:sz w:val="19"/>
                <w:szCs w:val="19"/>
              </w:rPr>
              <w:t>。</w:t>
            </w:r>
          </w:p>
        </w:tc>
      </w:tr>
      <w:tr w:rsidR="008C5520" w14:paraId="29F276B3" w14:textId="77777777">
        <w:tblPrEx>
          <w:tblCellMar>
            <w:top w:w="0" w:type="dxa"/>
            <w:bottom w:w="0" w:type="dxa"/>
          </w:tblCellMar>
        </w:tblPrEx>
        <w:tc>
          <w:tcPr>
            <w:tcW w:w="20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25677C9E" w14:textId="77777777" w:rsidR="008C5520" w:rsidRDefault="00BE5E16">
            <w:pPr>
              <w:spacing w:line="290" w:lineRule="auto"/>
              <w:rPr>
                <w:rFonts w:hint="eastAsia"/>
              </w:rPr>
            </w:pPr>
            <w:r>
              <w:rPr>
                <w:color w:val="000000"/>
                <w:sz w:val="19"/>
                <w:szCs w:val="19"/>
              </w:rPr>
              <w:t>Access-39730_Reviewer.pdf</w:t>
            </w:r>
          </w:p>
        </w:tc>
        <w:tc>
          <w:tcPr>
            <w:tcW w:w="30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0E248441" w14:textId="77777777" w:rsidR="008C5520" w:rsidRDefault="00BE5E16">
            <w:pPr>
              <w:spacing w:line="290" w:lineRule="auto"/>
              <w:rPr>
                <w:rFonts w:hint="eastAsia"/>
              </w:rPr>
            </w:pPr>
            <w:r>
              <w:rPr>
                <w:color w:val="000000"/>
                <w:sz w:val="19"/>
                <w:szCs w:val="19"/>
              </w:rPr>
              <w:t xml:space="preserve">8 </w:t>
            </w:r>
            <w:r>
              <w:rPr>
                <w:color w:val="000000"/>
                <w:sz w:val="19"/>
                <w:szCs w:val="19"/>
              </w:rPr>
              <w:t>页；包含审稿人</w:t>
            </w:r>
            <w:r>
              <w:rPr>
                <w:color w:val="000000"/>
                <w:sz w:val="19"/>
                <w:szCs w:val="19"/>
              </w:rPr>
              <w:t xml:space="preserve"> 2 </w:t>
            </w:r>
            <w:r>
              <w:rPr>
                <w:color w:val="000000"/>
                <w:sz w:val="19"/>
                <w:szCs w:val="19"/>
              </w:rPr>
              <w:t>的总体概括、</w:t>
            </w:r>
            <w:r>
              <w:rPr>
                <w:color w:val="000000"/>
                <w:sz w:val="19"/>
                <w:szCs w:val="19"/>
              </w:rPr>
              <w:t xml:space="preserve">33 </w:t>
            </w:r>
            <w:r>
              <w:rPr>
                <w:color w:val="000000"/>
                <w:sz w:val="19"/>
                <w:szCs w:val="19"/>
              </w:rPr>
              <w:t>条主要意见和</w:t>
            </w:r>
            <w:r>
              <w:rPr>
                <w:color w:val="000000"/>
                <w:sz w:val="19"/>
                <w:szCs w:val="19"/>
              </w:rPr>
              <w:t xml:space="preserve"> 2 </w:t>
            </w:r>
            <w:r>
              <w:rPr>
                <w:color w:val="000000"/>
                <w:sz w:val="19"/>
                <w:szCs w:val="19"/>
              </w:rPr>
              <w:t>条次要意见。已对文字层与全部页面进行核验。</w:t>
            </w:r>
          </w:p>
        </w:tc>
      </w:tr>
      <w:tr w:rsidR="008C5520" w14:paraId="73E5CCB2" w14:textId="77777777">
        <w:tblPrEx>
          <w:tblCellMar>
            <w:top w:w="0" w:type="dxa"/>
            <w:bottom w:w="0" w:type="dxa"/>
          </w:tblCellMar>
        </w:tblPrEx>
        <w:tc>
          <w:tcPr>
            <w:tcW w:w="2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5C076A2" w14:textId="77777777" w:rsidR="008C5520" w:rsidRDefault="00BE5E16">
            <w:pPr>
              <w:spacing w:line="290" w:lineRule="auto"/>
              <w:rPr>
                <w:rFonts w:hint="eastAsia"/>
              </w:rPr>
            </w:pPr>
            <w:r>
              <w:rPr>
                <w:color w:val="000000"/>
                <w:sz w:val="19"/>
                <w:szCs w:val="19"/>
              </w:rPr>
              <w:t>IEEE-Access-Response-to-Reviewers-template-6.26.23.docx</w:t>
            </w:r>
          </w:p>
        </w:tc>
        <w:tc>
          <w:tcPr>
            <w:tcW w:w="3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53941B3D" w14:textId="77777777" w:rsidR="008C5520" w:rsidRDefault="00BE5E16">
            <w:pPr>
              <w:spacing w:line="290" w:lineRule="auto"/>
              <w:rPr>
                <w:rFonts w:hint="eastAsia"/>
              </w:rPr>
            </w:pPr>
            <w:r>
              <w:rPr>
                <w:color w:val="000000"/>
                <w:sz w:val="19"/>
                <w:szCs w:val="19"/>
              </w:rPr>
              <w:t>确认逐条回复必须使用</w:t>
            </w:r>
            <w:r>
              <w:rPr>
                <w:color w:val="000000"/>
                <w:sz w:val="19"/>
                <w:szCs w:val="19"/>
              </w:rPr>
              <w:t xml:space="preserve"> Concern / Author response / Author action </w:t>
            </w:r>
            <w:r>
              <w:rPr>
                <w:color w:val="000000"/>
                <w:sz w:val="19"/>
                <w:szCs w:val="19"/>
              </w:rPr>
              <w:t>结构。</w:t>
            </w:r>
          </w:p>
        </w:tc>
      </w:tr>
      <w:tr w:rsidR="008C5520" w14:paraId="0BA6BB89" w14:textId="77777777">
        <w:tblPrEx>
          <w:tblCellMar>
            <w:top w:w="0" w:type="dxa"/>
            <w:bottom w:w="0" w:type="dxa"/>
          </w:tblCellMar>
        </w:tblPrEx>
        <w:tc>
          <w:tcPr>
            <w:tcW w:w="20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51EACB30" w14:textId="77777777" w:rsidR="008C5520" w:rsidRDefault="00BE5E16">
            <w:pPr>
              <w:spacing w:line="290" w:lineRule="auto"/>
              <w:rPr>
                <w:rFonts w:hint="eastAsia"/>
              </w:rPr>
            </w:pPr>
            <w:r>
              <w:rPr>
                <w:color w:val="000000"/>
                <w:sz w:val="19"/>
                <w:szCs w:val="19"/>
              </w:rPr>
              <w:t>Request-for-Byline-Change--2-.docx</w:t>
            </w:r>
          </w:p>
        </w:tc>
        <w:tc>
          <w:tcPr>
            <w:tcW w:w="3000" w:type="pct"/>
            <w:tcBorders>
              <w:top w:val="single" w:sz="4" w:space="0" w:color="B7C9D6"/>
              <w:left w:val="single" w:sz="4" w:space="0" w:color="B7C9D6"/>
              <w:bottom w:val="single" w:sz="4" w:space="0" w:color="B7C9D6"/>
              <w:right w:val="single" w:sz="4" w:space="0" w:color="B7C9D6"/>
            </w:tcBorders>
            <w:shd w:val="clear" w:color="auto" w:fill="F8FAFC"/>
            <w:tcMar>
              <w:top w:w="90" w:type="dxa"/>
              <w:left w:w="110" w:type="dxa"/>
              <w:bottom w:w="90" w:type="dxa"/>
              <w:right w:w="110" w:type="dxa"/>
            </w:tcMar>
            <w:vAlign w:val="center"/>
          </w:tcPr>
          <w:p w14:paraId="3781DA76" w14:textId="77777777" w:rsidR="008C5520" w:rsidRDefault="00BE5E16">
            <w:pPr>
              <w:spacing w:line="290" w:lineRule="auto"/>
              <w:rPr>
                <w:rFonts w:hint="eastAsia"/>
              </w:rPr>
            </w:pPr>
            <w:r>
              <w:rPr>
                <w:color w:val="000000"/>
                <w:sz w:val="19"/>
                <w:szCs w:val="19"/>
              </w:rPr>
              <w:t>确认作者名单变更属于少见例外情形，需详细贡献理由、编辑许可和全体在世作者同意。</w:t>
            </w:r>
          </w:p>
        </w:tc>
      </w:tr>
      <w:tr w:rsidR="008C5520" w14:paraId="55C2BB5D" w14:textId="77777777">
        <w:tblPrEx>
          <w:tblCellMar>
            <w:top w:w="0" w:type="dxa"/>
            <w:bottom w:w="0" w:type="dxa"/>
          </w:tblCellMar>
        </w:tblPrEx>
        <w:tc>
          <w:tcPr>
            <w:tcW w:w="2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16752202" w14:textId="77777777" w:rsidR="008C5520" w:rsidRDefault="00BE5E16">
            <w:pPr>
              <w:spacing w:line="290" w:lineRule="auto"/>
              <w:rPr>
                <w:rFonts w:hint="eastAsia"/>
              </w:rPr>
            </w:pPr>
            <w:r>
              <w:rPr>
                <w:color w:val="000000"/>
                <w:sz w:val="19"/>
                <w:szCs w:val="19"/>
              </w:rPr>
              <w:t>Resubmission-Checklist-6.26.23.docx</w:t>
            </w:r>
          </w:p>
        </w:tc>
        <w:tc>
          <w:tcPr>
            <w:tcW w:w="3000" w:type="pct"/>
            <w:tcBorders>
              <w:top w:val="single" w:sz="4" w:space="0" w:color="B7C9D6"/>
              <w:left w:val="single" w:sz="4" w:space="0" w:color="B7C9D6"/>
              <w:bottom w:val="single" w:sz="4" w:space="0" w:color="B7C9D6"/>
              <w:right w:val="single" w:sz="4" w:space="0" w:color="B7C9D6"/>
            </w:tcBorders>
            <w:shd w:val="clear" w:color="auto" w:fill="FFFFFF"/>
            <w:tcMar>
              <w:top w:w="90" w:type="dxa"/>
              <w:left w:w="110" w:type="dxa"/>
              <w:bottom w:w="90" w:type="dxa"/>
              <w:right w:w="110" w:type="dxa"/>
            </w:tcMar>
            <w:vAlign w:val="center"/>
          </w:tcPr>
          <w:p w14:paraId="26A652C9" w14:textId="77777777" w:rsidR="008C5520" w:rsidRDefault="00BE5E16">
            <w:pPr>
              <w:spacing w:line="290" w:lineRule="auto"/>
              <w:rPr>
                <w:rFonts w:hint="eastAsia"/>
              </w:rPr>
            </w:pPr>
            <w:r>
              <w:rPr>
                <w:color w:val="000000"/>
                <w:sz w:val="19"/>
                <w:szCs w:val="19"/>
              </w:rPr>
              <w:t>确认修改、高亮稿、干净稿、语言、公式、参考文献和补充材料等要求。</w:t>
            </w:r>
          </w:p>
        </w:tc>
      </w:tr>
    </w:tbl>
    <w:p w14:paraId="2A9AD087" w14:textId="77777777" w:rsidR="008C5520" w:rsidRDefault="00BE5E16">
      <w:pPr>
        <w:pStyle w:val="2"/>
        <w:spacing w:before="160" w:after="120"/>
        <w:rPr>
          <w:rFonts w:hint="eastAsia"/>
        </w:rPr>
      </w:pPr>
      <w:r>
        <w:t xml:space="preserve">9.1 </w:t>
      </w:r>
      <w:r>
        <w:t>联系信息记录</w:t>
      </w:r>
    </w:p>
    <w:p w14:paraId="103E9A8C" w14:textId="77777777" w:rsidR="008C5520" w:rsidRDefault="00BE5E16">
      <w:pPr>
        <w:pStyle w:val="a4"/>
        <w:numPr>
          <w:ilvl w:val="0"/>
          <w:numId w:val="2"/>
        </w:numPr>
        <w:spacing w:after="80" w:line="320" w:lineRule="auto"/>
        <w:ind w:left="520" w:hanging="260"/>
        <w:rPr>
          <w:rFonts w:hint="eastAsia"/>
        </w:rPr>
      </w:pPr>
      <w:r>
        <w:rPr>
          <w:color w:val="000000"/>
        </w:rPr>
        <w:t>副编辑：</w:t>
      </w:r>
      <w:r>
        <w:rPr>
          <w:color w:val="000000"/>
        </w:rPr>
        <w:t>Dr. Anandakumar Haldorai</w:t>
      </w:r>
      <w:r>
        <w:rPr>
          <w:color w:val="000000"/>
        </w:rPr>
        <w:t>，</w:t>
      </w:r>
      <w:r>
        <w:rPr>
          <w:color w:val="000000"/>
        </w:rPr>
        <w:t>anandakumar.psgtech@gmail.com</w:t>
      </w:r>
    </w:p>
    <w:p w14:paraId="4CBB959F" w14:textId="77777777" w:rsidR="008C5520" w:rsidRDefault="00BE5E16">
      <w:pPr>
        <w:pStyle w:val="a4"/>
        <w:numPr>
          <w:ilvl w:val="0"/>
          <w:numId w:val="2"/>
        </w:numPr>
        <w:spacing w:after="80" w:line="320" w:lineRule="auto"/>
        <w:ind w:left="520" w:hanging="260"/>
        <w:rPr>
          <w:rFonts w:hint="eastAsia"/>
        </w:rPr>
      </w:pPr>
      <w:r>
        <w:rPr>
          <w:color w:val="000000"/>
        </w:rPr>
        <w:t>文章管理员：</w:t>
      </w:r>
      <w:r>
        <w:rPr>
          <w:color w:val="000000"/>
        </w:rPr>
        <w:t>Mr. Ankit Srivastava</w:t>
      </w:r>
      <w:r>
        <w:rPr>
          <w:color w:val="000000"/>
        </w:rPr>
        <w:t>，</w:t>
      </w:r>
      <w:r>
        <w:rPr>
          <w:color w:val="000000"/>
        </w:rPr>
        <w:t>a.srivastava@ieee.org</w:t>
      </w:r>
    </w:p>
    <w:p w14:paraId="5367C768" w14:textId="77777777" w:rsidR="008C5520" w:rsidRDefault="00BE5E16">
      <w:pPr>
        <w:pStyle w:val="a4"/>
        <w:numPr>
          <w:ilvl w:val="0"/>
          <w:numId w:val="2"/>
        </w:numPr>
        <w:spacing w:after="80" w:line="320" w:lineRule="auto"/>
        <w:ind w:left="520" w:hanging="260"/>
        <w:rPr>
          <w:rFonts w:hint="eastAsia"/>
        </w:rPr>
      </w:pPr>
      <w:r>
        <w:rPr>
          <w:color w:val="000000"/>
        </w:rPr>
        <w:t>不恰当参考文献要求报告邮箱：</w:t>
      </w:r>
      <w:r>
        <w:rPr>
          <w:color w:val="000000"/>
        </w:rPr>
        <w:t>ieeeaccessEIC@ieee.org</w:t>
      </w:r>
    </w:p>
    <w:p w14:paraId="4F59C808" w14:textId="77777777" w:rsidR="008C5520" w:rsidRDefault="00BE5E16">
      <w:pPr>
        <w:pStyle w:val="2"/>
        <w:spacing w:before="160" w:after="120"/>
        <w:rPr>
          <w:rFonts w:hint="eastAsia"/>
        </w:rPr>
      </w:pPr>
      <w:r>
        <w:t xml:space="preserve">9.2 </w:t>
      </w:r>
      <w:r>
        <w:t>最终核对声明</w:t>
      </w:r>
    </w:p>
    <w:p w14:paraId="425BC049" w14:textId="77777777" w:rsidR="008C5520" w:rsidRDefault="00BE5E16">
      <w:pPr>
        <w:spacing w:after="110"/>
        <w:ind w:firstLine="420"/>
        <w:jc w:val="both"/>
        <w:rPr>
          <w:rFonts w:hint="eastAsia"/>
        </w:rPr>
      </w:pPr>
      <w:r>
        <w:rPr>
          <w:color w:val="000000"/>
        </w:rPr>
        <w:t>本文件旨在为后续修改建立可靠基线。审稿建议中的技术限定、数值阈值、公式编号、置信区间、性能数值和文件要求均予以保留。执行指引属于内部工作建议，后续可随代码审计和补充实验结果更新，但不得改写或弱化</w:t>
      </w:r>
      <w:r>
        <w:rPr>
          <w:color w:val="000000"/>
        </w:rPr>
        <w:t>“</w:t>
      </w:r>
      <w:r>
        <w:rPr>
          <w:color w:val="000000"/>
        </w:rPr>
        <w:t>严谨译文</w:t>
      </w:r>
      <w:r>
        <w:rPr>
          <w:color w:val="000000"/>
        </w:rPr>
        <w:t>”</w:t>
      </w:r>
      <w:r>
        <w:rPr>
          <w:color w:val="000000"/>
        </w:rPr>
        <w:t>部分的原始含义。</w:t>
      </w:r>
    </w:p>
    <w:tbl>
      <w:tblPr>
        <w:tblW w:w="5000" w:type="pct"/>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CellMar>
          <w:left w:w="10" w:type="dxa"/>
          <w:right w:w="10" w:type="dxa"/>
        </w:tblCellMar>
        <w:tblLook w:val="04A0" w:firstRow="1" w:lastRow="0" w:firstColumn="1" w:lastColumn="0" w:noHBand="0" w:noVBand="1"/>
      </w:tblPr>
      <w:tblGrid>
        <w:gridCol w:w="9736"/>
      </w:tblGrid>
      <w:tr w:rsidR="008C5520" w14:paraId="10232D01" w14:textId="77777777">
        <w:tblPrEx>
          <w:tblCellMar>
            <w:top w:w="0" w:type="dxa"/>
            <w:bottom w:w="0" w:type="dxa"/>
          </w:tblCellMar>
        </w:tblPrEx>
        <w:tc>
          <w:tcPr>
            <w:tcW w:w="0" w:type="auto"/>
            <w:tcBorders>
              <w:top w:val="single" w:sz="4" w:space="0" w:color="B7C9D6"/>
              <w:left w:val="single" w:sz="4" w:space="0" w:color="B7C9D6"/>
              <w:bottom w:val="single" w:sz="4" w:space="0" w:color="B7C9D6"/>
              <w:right w:val="single" w:sz="4" w:space="0" w:color="B7C9D6"/>
            </w:tcBorders>
            <w:shd w:val="clear" w:color="auto" w:fill="E2F0D9"/>
            <w:tcMar>
              <w:top w:w="120" w:type="dxa"/>
              <w:left w:w="180" w:type="dxa"/>
              <w:bottom w:w="120" w:type="dxa"/>
              <w:right w:w="180" w:type="dxa"/>
            </w:tcMar>
          </w:tcPr>
          <w:p w14:paraId="54EC8124" w14:textId="77777777" w:rsidR="008C5520" w:rsidRDefault="00BE5E16">
            <w:pPr>
              <w:spacing w:line="320" w:lineRule="auto"/>
              <w:jc w:val="both"/>
              <w:rPr>
                <w:rFonts w:hint="eastAsia"/>
              </w:rPr>
            </w:pPr>
            <w:r>
              <w:rPr>
                <w:b/>
                <w:bCs/>
                <w:color w:val="375623"/>
              </w:rPr>
              <w:t>当前状态：</w:t>
            </w:r>
            <w:r>
              <w:rPr>
                <w:color w:val="000000"/>
              </w:rPr>
              <w:t>返稿材料已归档；审稿意见已完成中文化和任务拆解。尚未开始对论文正文、模型、代码或实验结果作实质修改。</w:t>
            </w:r>
          </w:p>
        </w:tc>
      </w:tr>
    </w:tbl>
    <w:p w14:paraId="30823A8F" w14:textId="77777777" w:rsidR="00BE5E16" w:rsidRDefault="00BE5E16"/>
    <w:sectPr w:rsidR="00BE5E16">
      <w:headerReference w:type="even" r:id="rId7"/>
      <w:headerReference w:type="default" r:id="rId8"/>
      <w:footerReference w:type="even" r:id="rId9"/>
      <w:footerReference w:type="default" r:id="rId10"/>
      <w:headerReference w:type="first" r:id="rId11"/>
      <w:footerReference w:type="first" r:id="rId12"/>
      <w:pgSz w:w="11906" w:h="16838"/>
      <w:pgMar w:top="1080" w:right="1080" w:bottom="1080" w:left="1080" w:header="708" w:footer="708" w:gutter="0"/>
      <w:cols w:space="720"/>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4DEB7582" w14:textId="77777777" w:rsidR="00BE5E16" w:rsidRDefault="00BE5E16">
      <w:pPr>
        <w:spacing w:line="240" w:lineRule="auto"/>
        <w:rPr>
          <w:rFonts w:hint="eastAsia"/>
        </w:rPr>
      </w:pPr>
      <w:r>
        <w:separator/>
      </w:r>
    </w:p>
  </w:endnote>
  <w:endnote w:type="continuationSeparator" w:id="0">
    <w:p w14:paraId="13891ADF" w14:textId="77777777" w:rsidR="00BE5E16" w:rsidRDefault="00BE5E16">
      <w:pPr>
        <w:spacing w:line="240" w:lineRule="auto"/>
        <w:rPr>
          <w:rFonts w:hint="eastAsia"/>
        </w:rPr>
      </w:pPr>
      <w:r>
        <w:continuationSeparator/>
      </w: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宋体">
    <w:altName w:val="SimSun"/>
    <w:panose1 w:val="02010600030101010101"/>
    <w:charset w:val="86"/>
    <w:family w:val="auto"/>
    <w:pitch w:val="variable"/>
    <w:sig w:usb0="00000203" w:usb1="288F0000" w:usb2="00000016" w:usb3="00000000" w:csb0="00040001" w:csb1="00000000"/>
  </w:font>
  <w:font w:name="黑体">
    <w:altName w:val="SimHei"/>
    <w:panose1 w:val="02010609060101010101"/>
    <w:charset w:val="86"/>
    <w:family w:val="modern"/>
    <w:pitch w:val="fixed"/>
    <w:sig w:usb0="800002BF" w:usb1="38CF7CFA" w:usb2="00000016" w:usb3="00000000" w:csb0="00040001" w:csb1="00000000"/>
  </w:font>
  <w:font w:name="Times New Roman">
    <w:panose1 w:val="02020603050405020304"/>
    <w:charset w:val="00"/>
    <w:family w:val="roman"/>
    <w:pitch w:val="variable"/>
    <w:sig w:usb0="E0002EFF" w:usb1="C000785B" w:usb2="00000009" w:usb3="00000000" w:csb0="000001FF" w:csb1="00000000"/>
  </w:font>
  <w:font w:name="Arial">
    <w:panose1 w:val="020B0604020202020204"/>
    <w:charset w:val="00"/>
    <w:family w:val="swiss"/>
    <w:pitch w:val="variable"/>
    <w:sig w:usb0="E0002EFF" w:usb1="C000785B" w:usb2="00000009" w:usb3="00000000" w:csb0="000001FF" w:csb1="00000000"/>
  </w:font>
  <w:font w:name="等线 Light">
    <w:panose1 w:val="02010600030101010101"/>
    <w:charset w:val="86"/>
    <w:family w:val="auto"/>
    <w:pitch w:val="variable"/>
    <w:sig w:usb0="A00002BF" w:usb1="38CF7CFA" w:usb2="00000016" w:usb3="00000000" w:csb0="0004000F" w:csb1="00000000"/>
  </w:font>
  <w:font w:name="等线">
    <w:altName w:val="DengXian"/>
    <w:panose1 w:val="02010600030101010101"/>
    <w:charset w:val="86"/>
    <w:family w:val="auto"/>
    <w:pitch w:val="variable"/>
    <w:sig w:usb0="A00002BF" w:usb1="38CF7CFA" w:usb2="00000016" w:usb3="00000000" w:csb0="0004000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BBCECE5" w14:textId="77777777" w:rsidR="00504FF0" w:rsidRDefault="00504FF0">
    <w:pPr>
      <w:pStyle w:val="ae"/>
      <w:rPr>
        <w:rFonts w:hint="eastAsia"/>
      </w:rP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CD4794E" w14:textId="77777777" w:rsidR="008C5520" w:rsidRDefault="00BE5E16">
    <w:pPr>
      <w:jc w:val="center"/>
      <w:rPr>
        <w:rFonts w:hint="eastAsia"/>
      </w:rPr>
    </w:pPr>
    <w:r>
      <w:rPr>
        <w:color w:val="666666"/>
        <w:sz w:val="18"/>
        <w:szCs w:val="18"/>
      </w:rPr>
      <w:t xml:space="preserve">Access-2026-39730 </w:t>
    </w:r>
    <w:r>
      <w:rPr>
        <w:color w:val="666666"/>
        <w:sz w:val="18"/>
        <w:szCs w:val="18"/>
      </w:rPr>
      <w:t>返稿修改工作文件</w:t>
    </w:r>
    <w:r>
      <w:rPr>
        <w:color w:val="666666"/>
        <w:sz w:val="18"/>
        <w:szCs w:val="18"/>
      </w:rPr>
      <w:t xml:space="preserve">  |  </w:t>
    </w:r>
    <w:r>
      <w:rPr>
        <w:color w:val="666666"/>
        <w:sz w:val="18"/>
        <w:szCs w:val="18"/>
      </w:rPr>
      <w:t>第</w:t>
    </w:r>
    <w:r>
      <w:rPr>
        <w:color w:val="666666"/>
        <w:sz w:val="18"/>
        <w:szCs w:val="18"/>
      </w:rPr>
      <w:t xml:space="preserve"> </w:t>
    </w:r>
    <w:r>
      <w:rPr>
        <w:rFonts w:ascii="Arial" w:eastAsia="Arial" w:hAnsi="Arial" w:cs="Arial"/>
        <w:color w:val="666666"/>
        <w:sz w:val="18"/>
        <w:szCs w:val="18"/>
      </w:rPr>
      <w:fldChar w:fldCharType="begin"/>
    </w:r>
    <w:r>
      <w:rPr>
        <w:rFonts w:ascii="Arial" w:eastAsia="Arial" w:hAnsi="Arial" w:cs="Arial"/>
        <w:color w:val="666666"/>
        <w:sz w:val="18"/>
        <w:szCs w:val="18"/>
      </w:rPr>
      <w:instrText>PAGE</w:instrText>
    </w:r>
    <w:r>
      <w:rPr>
        <w:rFonts w:ascii="Arial" w:eastAsia="Arial" w:hAnsi="Arial" w:cs="Arial"/>
        <w:color w:val="666666"/>
        <w:sz w:val="18"/>
        <w:szCs w:val="18"/>
      </w:rPr>
      <w:fldChar w:fldCharType="separate"/>
    </w:r>
    <w:r w:rsidR="00504FF0">
      <w:rPr>
        <w:rFonts w:ascii="Arial" w:eastAsia="Arial" w:hAnsi="Arial" w:cs="Arial"/>
        <w:noProof/>
        <w:color w:val="666666"/>
        <w:sz w:val="18"/>
        <w:szCs w:val="18"/>
      </w:rPr>
      <w:t>1</w:t>
    </w:r>
    <w:r>
      <w:rPr>
        <w:rFonts w:ascii="Arial" w:eastAsia="Arial" w:hAnsi="Arial" w:cs="Arial"/>
        <w:color w:val="666666"/>
        <w:sz w:val="18"/>
        <w:szCs w:val="18"/>
      </w:rPr>
      <w:fldChar w:fldCharType="end"/>
    </w:r>
    <w:r>
      <w:rPr>
        <w:color w:val="666666"/>
        <w:sz w:val="18"/>
        <w:szCs w:val="18"/>
      </w:rPr>
      <w:t xml:space="preserve"> </w:t>
    </w:r>
    <w:r>
      <w:rPr>
        <w:color w:val="666666"/>
        <w:sz w:val="18"/>
        <w:szCs w:val="18"/>
      </w:rPr>
      <w:t>页，共</w:t>
    </w:r>
    <w:r>
      <w:rPr>
        <w:color w:val="666666"/>
        <w:sz w:val="18"/>
        <w:szCs w:val="18"/>
      </w:rPr>
      <w:t xml:space="preserve"> </w:t>
    </w:r>
    <w:r>
      <w:rPr>
        <w:rFonts w:ascii="Arial" w:eastAsia="Arial" w:hAnsi="Arial" w:cs="Arial"/>
        <w:color w:val="666666"/>
        <w:sz w:val="18"/>
        <w:szCs w:val="18"/>
      </w:rPr>
      <w:fldChar w:fldCharType="begin"/>
    </w:r>
    <w:r>
      <w:rPr>
        <w:rFonts w:ascii="Arial" w:eastAsia="Arial" w:hAnsi="Arial" w:cs="Arial"/>
        <w:color w:val="666666"/>
        <w:sz w:val="18"/>
        <w:szCs w:val="18"/>
      </w:rPr>
      <w:instrText>NUMPAGES</w:instrText>
    </w:r>
    <w:r>
      <w:rPr>
        <w:rFonts w:ascii="Arial" w:eastAsia="Arial" w:hAnsi="Arial" w:cs="Arial"/>
        <w:color w:val="666666"/>
        <w:sz w:val="18"/>
        <w:szCs w:val="18"/>
      </w:rPr>
      <w:fldChar w:fldCharType="separate"/>
    </w:r>
    <w:r w:rsidR="00504FF0">
      <w:rPr>
        <w:rFonts w:ascii="Arial" w:eastAsia="Arial" w:hAnsi="Arial" w:cs="Arial"/>
        <w:noProof/>
        <w:color w:val="666666"/>
        <w:sz w:val="18"/>
        <w:szCs w:val="18"/>
      </w:rPr>
      <w:t>2</w:t>
    </w:r>
    <w:r>
      <w:rPr>
        <w:rFonts w:ascii="Arial" w:eastAsia="Arial" w:hAnsi="Arial" w:cs="Arial"/>
        <w:color w:val="666666"/>
        <w:sz w:val="18"/>
        <w:szCs w:val="18"/>
      </w:rPr>
      <w:fldChar w:fldCharType="end"/>
    </w:r>
    <w:r>
      <w:rPr>
        <w:color w:val="666666"/>
        <w:sz w:val="18"/>
        <w:szCs w:val="18"/>
      </w:rPr>
      <w:t xml:space="preserve"> </w:t>
    </w:r>
    <w:r>
      <w:rPr>
        <w:color w:val="666666"/>
        <w:sz w:val="18"/>
        <w:szCs w:val="18"/>
      </w:rPr>
      <w:t>页</w:t>
    </w: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BE5F0D6" w14:textId="77777777" w:rsidR="00504FF0" w:rsidRDefault="00504FF0">
    <w:pPr>
      <w:pStyle w:val="ae"/>
      <w:rPr>
        <w:rFonts w:hint="eastAsia"/>
      </w:rP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4D81C665" w14:textId="77777777" w:rsidR="00BE5E16" w:rsidRDefault="00BE5E16">
      <w:pPr>
        <w:spacing w:line="240" w:lineRule="auto"/>
        <w:rPr>
          <w:rFonts w:hint="eastAsia"/>
        </w:rPr>
      </w:pPr>
      <w:r>
        <w:separator/>
      </w:r>
    </w:p>
  </w:footnote>
  <w:footnote w:type="continuationSeparator" w:id="0">
    <w:p w14:paraId="7F2DDBEE" w14:textId="77777777" w:rsidR="00BE5E16" w:rsidRDefault="00BE5E16">
      <w:pPr>
        <w:spacing w:line="240" w:lineRule="auto"/>
        <w:rPr>
          <w:rFonts w:hint="eastAsia"/>
        </w:rPr>
      </w:pPr>
      <w:r>
        <w:continuationSeparator/>
      </w: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13C1ADC" w14:textId="77777777" w:rsidR="00504FF0" w:rsidRDefault="00504FF0">
    <w:pPr>
      <w:pStyle w:val="ac"/>
      <w:rPr>
        <w:rFonts w:hint="eastAsia"/>
      </w:rP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65935D5F" w14:textId="77777777" w:rsidR="00504FF0" w:rsidRDefault="00504FF0">
    <w:pPr>
      <w:pStyle w:val="ac"/>
      <w:rPr>
        <w:rFonts w:hint="eastAsia"/>
      </w:rP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2523419D" w14:textId="77777777" w:rsidR="00504FF0" w:rsidRDefault="00504FF0">
    <w:pPr>
      <w:pStyle w:val="ac"/>
      <w:rPr>
        <w:rFonts w:hint="eastAsia"/>
      </w:rPr>
    </w:pP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2B1E4C7C"/>
    <w:multiLevelType w:val="hybridMultilevel"/>
    <w:tmpl w:val="D540ADD4"/>
    <w:lvl w:ilvl="0" w:tplc="3B0CC65C">
      <w:start w:val="1"/>
      <w:numFmt w:val="bullet"/>
      <w:lvlText w:val="•"/>
      <w:lvlJc w:val="left"/>
      <w:pPr>
        <w:ind w:left="560" w:hanging="280"/>
      </w:pPr>
    </w:lvl>
    <w:lvl w:ilvl="1" w:tplc="7110ED02">
      <w:start w:val="1"/>
      <w:numFmt w:val="bullet"/>
      <w:lvlText w:val="◦"/>
      <w:lvlJc w:val="left"/>
      <w:pPr>
        <w:ind w:left="920" w:hanging="280"/>
      </w:pPr>
    </w:lvl>
    <w:lvl w:ilvl="2" w:tplc="FB8EFDF0">
      <w:numFmt w:val="decimal"/>
      <w:lvlText w:val=""/>
      <w:lvlJc w:val="left"/>
    </w:lvl>
    <w:lvl w:ilvl="3" w:tplc="95FED1EE">
      <w:numFmt w:val="decimal"/>
      <w:lvlText w:val=""/>
      <w:lvlJc w:val="left"/>
    </w:lvl>
    <w:lvl w:ilvl="4" w:tplc="480C77BC">
      <w:numFmt w:val="decimal"/>
      <w:lvlText w:val=""/>
      <w:lvlJc w:val="left"/>
    </w:lvl>
    <w:lvl w:ilvl="5" w:tplc="0494E8E6">
      <w:numFmt w:val="decimal"/>
      <w:lvlText w:val=""/>
      <w:lvlJc w:val="left"/>
    </w:lvl>
    <w:lvl w:ilvl="6" w:tplc="5FDE4E96">
      <w:numFmt w:val="decimal"/>
      <w:lvlText w:val=""/>
      <w:lvlJc w:val="left"/>
    </w:lvl>
    <w:lvl w:ilvl="7" w:tplc="5B3A2316">
      <w:numFmt w:val="decimal"/>
      <w:lvlText w:val=""/>
      <w:lvlJc w:val="left"/>
    </w:lvl>
    <w:lvl w:ilvl="8" w:tplc="4DD2EC64">
      <w:numFmt w:val="decimal"/>
      <w:lvlText w:val=""/>
      <w:lvlJc w:val="left"/>
    </w:lvl>
  </w:abstractNum>
  <w:abstractNum w:abstractNumId="1" w15:restartNumberingAfterBreak="0">
    <w:nsid w:val="4036281B"/>
    <w:multiLevelType w:val="multilevel"/>
    <w:tmpl w:val="A30C7120"/>
    <w:lvl w:ilvl="0">
      <w:start w:val="1"/>
      <w:numFmt w:val="decimal"/>
      <w:lvlText w:val="%1."/>
      <w:lvlJc w:val="left"/>
      <w:pPr>
        <w:ind w:left="560" w:hanging="280"/>
      </w:pPr>
    </w:lvl>
    <w:lvl w:ilvl="1">
      <w:start w:val="1"/>
      <w:numFmt w:val="decimal"/>
      <w:lvlText w:val="%1.%2."/>
      <w:lvlJc w:val="left"/>
      <w:pPr>
        <w:ind w:left="920" w:hanging="360"/>
      </w:pPr>
    </w:lvl>
    <w:lvl w:ilvl="2">
      <w:numFmt w:val="decimal"/>
      <w:lvlText w:val=""/>
      <w:lvlJc w:val="left"/>
    </w:lvl>
    <w:lvl w:ilvl="3">
      <w:numFmt w:val="decimal"/>
      <w:lvlText w:val=""/>
      <w:lvlJc w:val="left"/>
    </w:lvl>
    <w:lvl w:ilvl="4">
      <w:numFmt w:val="decimal"/>
      <w:lvlText w:val=""/>
      <w:lvlJc w:val="left"/>
    </w:lvl>
    <w:lvl w:ilvl="5">
      <w:numFmt w:val="decimal"/>
      <w:lvlText w:val=""/>
      <w:lvlJc w:val="left"/>
    </w:lvl>
    <w:lvl w:ilvl="6">
      <w:numFmt w:val="decimal"/>
      <w:lvlText w:val=""/>
      <w:lvlJc w:val="left"/>
    </w:lvl>
    <w:lvl w:ilvl="7">
      <w:numFmt w:val="decimal"/>
      <w:lvlText w:val=""/>
      <w:lvlJc w:val="left"/>
    </w:lvl>
    <w:lvl w:ilvl="8">
      <w:numFmt w:val="decimal"/>
      <w:lvlText w:val=""/>
      <w:lvlJc w:val="left"/>
    </w:lvl>
  </w:abstractNum>
  <w:abstractNum w:abstractNumId="2" w15:restartNumberingAfterBreak="0">
    <w:nsid w:val="589A5D06"/>
    <w:multiLevelType w:val="hybridMultilevel"/>
    <w:tmpl w:val="D7348A1E"/>
    <w:lvl w:ilvl="0" w:tplc="1396DA58">
      <w:start w:val="1"/>
      <w:numFmt w:val="bullet"/>
      <w:lvlText w:val="●"/>
      <w:lvlJc w:val="left"/>
      <w:pPr>
        <w:ind w:left="720" w:hanging="360"/>
      </w:pPr>
    </w:lvl>
    <w:lvl w:ilvl="1" w:tplc="1FAA4226">
      <w:start w:val="1"/>
      <w:numFmt w:val="bullet"/>
      <w:lvlText w:val="○"/>
      <w:lvlJc w:val="left"/>
      <w:pPr>
        <w:ind w:left="1440" w:hanging="360"/>
      </w:pPr>
    </w:lvl>
    <w:lvl w:ilvl="2" w:tplc="2B26C73E">
      <w:start w:val="1"/>
      <w:numFmt w:val="bullet"/>
      <w:lvlText w:val="■"/>
      <w:lvlJc w:val="left"/>
      <w:pPr>
        <w:ind w:left="2160" w:hanging="360"/>
      </w:pPr>
    </w:lvl>
    <w:lvl w:ilvl="3" w:tplc="452C302E">
      <w:start w:val="1"/>
      <w:numFmt w:val="bullet"/>
      <w:lvlText w:val="●"/>
      <w:lvlJc w:val="left"/>
      <w:pPr>
        <w:ind w:left="2880" w:hanging="360"/>
      </w:pPr>
    </w:lvl>
    <w:lvl w:ilvl="4" w:tplc="E160BC52">
      <w:start w:val="1"/>
      <w:numFmt w:val="bullet"/>
      <w:lvlText w:val="○"/>
      <w:lvlJc w:val="left"/>
      <w:pPr>
        <w:ind w:left="3600" w:hanging="360"/>
      </w:pPr>
    </w:lvl>
    <w:lvl w:ilvl="5" w:tplc="37DC6DBC">
      <w:start w:val="1"/>
      <w:numFmt w:val="bullet"/>
      <w:lvlText w:val="■"/>
      <w:lvlJc w:val="left"/>
      <w:pPr>
        <w:ind w:left="4320" w:hanging="360"/>
      </w:pPr>
    </w:lvl>
    <w:lvl w:ilvl="6" w:tplc="268076D4">
      <w:start w:val="1"/>
      <w:numFmt w:val="bullet"/>
      <w:lvlText w:val="●"/>
      <w:lvlJc w:val="left"/>
      <w:pPr>
        <w:ind w:left="5040" w:hanging="360"/>
      </w:pPr>
    </w:lvl>
    <w:lvl w:ilvl="7" w:tplc="39EC6AD2">
      <w:start w:val="1"/>
      <w:numFmt w:val="bullet"/>
      <w:lvlText w:val="●"/>
      <w:lvlJc w:val="left"/>
      <w:pPr>
        <w:ind w:left="5760" w:hanging="360"/>
      </w:pPr>
    </w:lvl>
    <w:lvl w:ilvl="8" w:tplc="93605A9C">
      <w:start w:val="1"/>
      <w:numFmt w:val="bullet"/>
      <w:lvlText w:val="●"/>
      <w:lvlJc w:val="left"/>
      <w:pPr>
        <w:ind w:left="6480" w:hanging="360"/>
      </w:pPr>
    </w:lvl>
  </w:abstractNum>
  <w:num w:numId="1" w16cid:durableId="586227416">
    <w:abstractNumId w:val="2"/>
    <w:lvlOverride w:ilvl="0">
      <w:startOverride w:val="1"/>
    </w:lvlOverride>
  </w:num>
  <w:num w:numId="2" w16cid:durableId="1778671566">
    <w:abstractNumId w:val="0"/>
    <w:lvlOverride w:ilvl="0">
      <w:startOverride w:val="1"/>
    </w:lvlOverride>
  </w:num>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50"/>
  <w:displayBackgroundShape/>
  <w:bordersDoNotSurroundHeader/>
  <w:bordersDoNotSurroundFooter/>
  <w:defaultTabStop w:val="420"/>
  <w:characterSpacingControl w:val="doNotCompress"/>
  <w:hdrShapeDefaults>
    <o:shapedefaults v:ext="edit" spidmax="2050"/>
  </w:hdrShapeDefaults>
  <w:footnotePr>
    <w:footnote w:id="-1"/>
    <w:footnote w:id="0"/>
  </w:footnotePr>
  <w:endnotePr>
    <w:endnote w:id="-1"/>
    <w:endnote w:id="0"/>
  </w:endnotePr>
  <w:compat>
    <w:useFELayout/>
    <w:compatSetting w:name="compatibilityMode" w:uri="http://schemas.microsoft.com/office/word" w:val="15"/>
    <w:compatSetting w:name="overrideTableStyleFontSizeAndJustification" w:uri="http://schemas.microsoft.com/office/word" w:val="1"/>
    <w:compatSetting w:name="enableOpenTypeFeatures" w:uri="http://schemas.microsoft.com/office/word" w:val="1"/>
    <w:compatSetting w:name="doNotFlipMirrorIndents" w:uri="http://schemas.microsoft.com/office/word" w:val="1"/>
    <w:compatSetting w:name="differentiateMultirowTableHeaders" w:uri="http://schemas.microsoft.com/office/word" w:val="1"/>
    <w:compatSetting w:name="useWord2013TrackBottomHyphenation" w:uri="http://schemas.microsoft.com/office/word" w:val="1"/>
  </w:compat>
  <w:rsids>
    <w:rsidRoot w:val="008C5520"/>
    <w:rsid w:val="00504FF0"/>
    <w:rsid w:val="008C5520"/>
    <w:rsid w:val="00BE5E16"/>
    <w:rsid w:val="00E71449"/>
  </w:rsids>
  <m:mathPr>
    <m:mathFont m:val="Cambria Math"/>
    <m:brkBin m:val="before"/>
    <m:brkBinSub m:val="--"/>
    <m:smallFrac m:val="0"/>
    <m:dispDef/>
    <m:lMargin m:val="0"/>
    <m:rMargin m:val="0"/>
    <m:defJc m:val="centerGroup"/>
    <m:wrapIndent m:val="1440"/>
    <m:intLim m:val="subSup"/>
    <m:naryLim m:val="undOvr"/>
  </m:mathPr>
  <w:themeFontLang w:val="en-US" w:eastAsia="zh-CN"/>
  <w:clrSchemeMapping w:bg1="light1" w:t1="dark1" w:bg2="light2" w:t2="dark2" w:accent1="accent1" w:accent2="accent2" w:accent3="accent3" w:accent4="accent4" w:accent5="accent5" w:accent6="accent6" w:hyperlink="hyperlink" w:followedHyperlink="followedHyperlink"/>
  <w:doNotIncludeSubdocsInStats/>
  <w:shapeDefaults>
    <o:shapedefaults v:ext="edit" spidmax="2050"/>
    <o:shapelayout v:ext="edit">
      <o:idmap v:ext="edit" data="2"/>
    </o:shapelayout>
  </w:shapeDefaults>
  <w:decimalSymbol w:val="."/>
  <w:listSeparator w:val=","/>
  <w14:docId w14:val="62C33403"/>
  <w15:docId w15:val="{5297ABEA-E4C3-4086-901E-210C69568CC4}"/>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宋体" w:eastAsia="宋体" w:hAnsi="宋体" w:cs="宋体"/>
        <w:sz w:val="21"/>
        <w:szCs w:val="21"/>
        <w:lang w:val="en-US" w:eastAsia="zh-CN" w:bidi="ar-SA"/>
      </w:rPr>
    </w:rPrDefault>
    <w:pPrDefault>
      <w:pPr>
        <w:spacing w:line="340" w:lineRule="auto"/>
      </w:pPr>
    </w:pPrDefault>
  </w:docDefaults>
  <w:latentStyles w:defLockedState="0" w:defUIPriority="99" w:defSemiHidden="0" w:defUnhideWhenUsed="0" w:defQFormat="0" w:count="376">
    <w:lsdException w:name="Normal" w:uiPriority="0" w:qFormat="1"/>
    <w:lsdException w:name="heading 1" w:uiPriority="9"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qFormat="1"/>
    <w:lsdException w:name="heading 8" w:semiHidden="1" w:uiPriority="9" w:unhideWhenUsed="1" w:qFormat="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semiHidden="1" w:uiPriority="39" w:unhideWhenUsed="1"/>
    <w:lsdException w:name="toc 2" w:semiHidden="1" w:uiPriority="39" w:unhideWhenUsed="1"/>
    <w:lsdException w:name="toc 3" w:semiHidden="1" w:uiPriority="39" w:unhideWhenUsed="1"/>
    <w:lsdException w:name="toc 4" w:semiHidden="1" w:uiPriority="39" w:unhideWhenUsed="1"/>
    <w:lsdException w:name="toc 5" w:semiHidden="1" w:uiPriority="39" w:unhideWhenUsed="1"/>
    <w:lsdException w:name="toc 6" w:semiHidden="1" w:uiPriority="39" w:unhideWhenUsed="1"/>
    <w:lsdException w:name="toc 7" w:semiHidden="1" w:uiPriority="39" w:unhideWhenUsed="1"/>
    <w:lsdException w:name="toc 8" w:semiHidden="1" w:uiPriority="39" w:unhideWhenUsed="1"/>
    <w:lsdException w:name="toc 9" w:semiHidden="1" w:uiPriority="39" w:unhideWhenUsed="1"/>
    <w:lsdException w:name="Normal Indent" w:semiHidden="1" w:unhideWhenUsed="1"/>
    <w:lsdException w:name="footnote text" w:semiHidden="1" w:unhideWhenUsed="1"/>
    <w:lsdException w:name="annotation text" w:semiHidden="1" w:unhideWhenUsed="1"/>
    <w:lsdException w:name="header" w:semiHidden="1" w:unhideWhenUsed="1"/>
    <w:lsdException w:name="footer" w:semiHidden="1" w:unhideWhenUsed="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nhideWhenUsed="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nhideWhenUsed="1"/>
    <w:lsdException w:name="Body Text 3" w:semiHidden="1" w:unhideWhenUsed="1"/>
    <w:lsdException w:name="Body Text Indent 2" w:semiHidden="1" w:unhideWhenUsed="1"/>
    <w:lsdException w:name="Body Text Indent 3" w:semiHidden="1" w:unhideWhenUsed="1"/>
    <w:lsdException w:name="Block Text" w:semiHidden="1" w:unhideWhenUsed="1"/>
    <w:lsdException w:name="Hyperlink" w:semiHidden="1" w:unhideWhenUsed="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3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qFormat="1"/>
    <w:lsdException w:name="Intense Quote" w:uiPriority="30" w:qFormat="1"/>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qFormat="1"/>
    <w:lsdException w:name="Intense Emphasis" w:uiPriority="21" w:qFormat="1"/>
    <w:lsdException w:name="Subtle Reference" w:uiPriority="31" w:qFormat="1"/>
    <w:lsdException w:name="Intense Reference" w:uiPriority="32" w:qFormat="1"/>
    <w:lsdException w:name="Book Title" w:uiPriority="33" w:qFormat="1"/>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a">
    <w:name w:val="Normal"/>
    <w:qFormat/>
    <w:pPr>
      <w:widowControl w:val="0"/>
    </w:pPr>
  </w:style>
  <w:style w:type="paragraph" w:styleId="1">
    <w:name w:val="heading 1"/>
    <w:uiPriority w:val="9"/>
    <w:qFormat/>
    <w:pPr>
      <w:keepNext/>
      <w:spacing w:before="240" w:after="140"/>
      <w:outlineLvl w:val="0"/>
    </w:pPr>
    <w:rPr>
      <w:rFonts w:ascii="黑体" w:eastAsia="黑体" w:hAnsi="黑体" w:cs="黑体"/>
      <w:b/>
      <w:bCs/>
      <w:color w:val="17365D"/>
      <w:sz w:val="30"/>
      <w:szCs w:val="30"/>
    </w:rPr>
  </w:style>
  <w:style w:type="paragraph" w:styleId="2">
    <w:name w:val="heading 2"/>
    <w:uiPriority w:val="9"/>
    <w:unhideWhenUsed/>
    <w:qFormat/>
    <w:pPr>
      <w:keepNext/>
      <w:spacing w:before="190" w:after="110"/>
      <w:outlineLvl w:val="1"/>
    </w:pPr>
    <w:rPr>
      <w:rFonts w:ascii="黑体" w:eastAsia="黑体" w:hAnsi="黑体" w:cs="黑体"/>
      <w:b/>
      <w:bCs/>
      <w:color w:val="2F5597"/>
      <w:sz w:val="25"/>
      <w:szCs w:val="25"/>
    </w:rPr>
  </w:style>
  <w:style w:type="paragraph" w:styleId="3">
    <w:name w:val="heading 3"/>
    <w:uiPriority w:val="9"/>
    <w:unhideWhenUsed/>
    <w:qFormat/>
    <w:pPr>
      <w:keepNext/>
      <w:spacing w:before="150" w:after="80"/>
      <w:outlineLvl w:val="2"/>
    </w:pPr>
    <w:rPr>
      <w:rFonts w:ascii="黑体" w:eastAsia="黑体" w:hAnsi="黑体" w:cs="黑体"/>
      <w:b/>
      <w:bCs/>
      <w:color w:val="1F6D7A"/>
      <w:sz w:val="22"/>
      <w:szCs w:val="22"/>
    </w:rPr>
  </w:style>
  <w:style w:type="paragraph" w:styleId="4">
    <w:name w:val="heading 4"/>
    <w:uiPriority w:val="9"/>
    <w:semiHidden/>
    <w:unhideWhenUsed/>
    <w:qFormat/>
    <w:pPr>
      <w:outlineLvl w:val="3"/>
    </w:pPr>
    <w:rPr>
      <w:i/>
      <w:iCs/>
      <w:color w:val="2E74B5"/>
    </w:rPr>
  </w:style>
  <w:style w:type="paragraph" w:styleId="5">
    <w:name w:val="heading 5"/>
    <w:uiPriority w:val="9"/>
    <w:semiHidden/>
    <w:unhideWhenUsed/>
    <w:qFormat/>
    <w:pPr>
      <w:outlineLvl w:val="4"/>
    </w:pPr>
    <w:rPr>
      <w:color w:val="2E74B5"/>
    </w:rPr>
  </w:style>
  <w:style w:type="paragraph" w:styleId="6">
    <w:name w:val="heading 6"/>
    <w:uiPriority w:val="9"/>
    <w:semiHidden/>
    <w:unhideWhenUsed/>
    <w:qFormat/>
    <w:pPr>
      <w:outlineLvl w:val="5"/>
    </w:pPr>
    <w:rPr>
      <w:color w:val="1F4D78"/>
    </w:rPr>
  </w:style>
  <w:style w:type="character" w:default="1" w:styleId="a0">
    <w:name w:val="Default Paragraph Font"/>
    <w:uiPriority w:val="1"/>
    <w:semiHidden/>
    <w:unhideWhenUsed/>
  </w:style>
  <w:style w:type="table" w:default="1" w:styleId="a1">
    <w:name w:val="Normal Table"/>
    <w:uiPriority w:val="99"/>
    <w:semiHidden/>
    <w:unhideWhenUsed/>
    <w:tblPr>
      <w:tblInd w:w="0" w:type="dxa"/>
      <w:tblCellMar>
        <w:top w:w="0" w:type="dxa"/>
        <w:left w:w="108" w:type="dxa"/>
        <w:bottom w:w="0" w:type="dxa"/>
        <w:right w:w="108" w:type="dxa"/>
      </w:tblCellMar>
    </w:tblPr>
  </w:style>
  <w:style w:type="numbering" w:default="1" w:styleId="a2">
    <w:name w:val="No List"/>
    <w:uiPriority w:val="99"/>
    <w:semiHidden/>
    <w:unhideWhenUsed/>
  </w:style>
  <w:style w:type="paragraph" w:styleId="a3">
    <w:name w:val="Title"/>
    <w:uiPriority w:val="10"/>
    <w:qFormat/>
    <w:rPr>
      <w:sz w:val="56"/>
      <w:szCs w:val="56"/>
    </w:rPr>
  </w:style>
  <w:style w:type="paragraph" w:customStyle="1" w:styleId="10">
    <w:name w:val="要点1"/>
    <w:qFormat/>
    <w:rPr>
      <w:b/>
      <w:bCs/>
    </w:rPr>
  </w:style>
  <w:style w:type="paragraph" w:styleId="a4">
    <w:name w:val="List Paragraph"/>
    <w:qFormat/>
  </w:style>
  <w:style w:type="character" w:styleId="a5">
    <w:name w:val="Hyperlink"/>
    <w:uiPriority w:val="99"/>
    <w:unhideWhenUsed/>
    <w:rPr>
      <w:color w:val="0563C1"/>
      <w:u w:val="single"/>
    </w:rPr>
  </w:style>
  <w:style w:type="character" w:styleId="a6">
    <w:name w:val="footnote reference"/>
    <w:uiPriority w:val="99"/>
    <w:semiHidden/>
    <w:unhideWhenUsed/>
    <w:rPr>
      <w:vertAlign w:val="superscript"/>
    </w:rPr>
  </w:style>
  <w:style w:type="paragraph" w:styleId="a7">
    <w:name w:val="footnote text"/>
    <w:link w:val="a8"/>
    <w:uiPriority w:val="99"/>
    <w:semiHidden/>
    <w:unhideWhenUsed/>
    <w:pPr>
      <w:spacing w:line="240" w:lineRule="auto"/>
    </w:pPr>
    <w:rPr>
      <w:sz w:val="20"/>
      <w:szCs w:val="20"/>
    </w:rPr>
  </w:style>
  <w:style w:type="character" w:customStyle="1" w:styleId="a8">
    <w:name w:val="脚注文本 字符"/>
    <w:link w:val="a7"/>
    <w:uiPriority w:val="99"/>
    <w:semiHidden/>
    <w:unhideWhenUsed/>
    <w:rPr>
      <w:sz w:val="20"/>
      <w:szCs w:val="20"/>
    </w:rPr>
  </w:style>
  <w:style w:type="character" w:styleId="a9">
    <w:name w:val="endnote reference"/>
    <w:uiPriority w:val="99"/>
    <w:semiHidden/>
    <w:unhideWhenUsed/>
    <w:rPr>
      <w:vertAlign w:val="superscript"/>
    </w:rPr>
  </w:style>
  <w:style w:type="paragraph" w:styleId="aa">
    <w:name w:val="endnote text"/>
    <w:link w:val="ab"/>
    <w:uiPriority w:val="99"/>
    <w:semiHidden/>
    <w:unhideWhenUsed/>
    <w:pPr>
      <w:spacing w:line="240" w:lineRule="auto"/>
    </w:pPr>
    <w:rPr>
      <w:sz w:val="20"/>
      <w:szCs w:val="20"/>
    </w:rPr>
  </w:style>
  <w:style w:type="character" w:customStyle="1" w:styleId="ab">
    <w:name w:val="尾注文本 字符"/>
    <w:link w:val="aa"/>
    <w:uiPriority w:val="99"/>
    <w:semiHidden/>
    <w:unhideWhenUsed/>
    <w:rPr>
      <w:sz w:val="20"/>
      <w:szCs w:val="20"/>
    </w:rPr>
  </w:style>
  <w:style w:type="paragraph" w:styleId="ac">
    <w:name w:val="header"/>
    <w:basedOn w:val="a"/>
    <w:link w:val="ad"/>
    <w:uiPriority w:val="99"/>
    <w:unhideWhenUsed/>
    <w:rsid w:val="00504FF0"/>
    <w:pPr>
      <w:tabs>
        <w:tab w:val="center" w:pos="4153"/>
        <w:tab w:val="right" w:pos="8306"/>
      </w:tabs>
      <w:snapToGrid w:val="0"/>
      <w:spacing w:line="240" w:lineRule="auto"/>
      <w:jc w:val="center"/>
    </w:pPr>
    <w:rPr>
      <w:sz w:val="18"/>
      <w:szCs w:val="18"/>
    </w:rPr>
  </w:style>
  <w:style w:type="character" w:customStyle="1" w:styleId="ad">
    <w:name w:val="页眉 字符"/>
    <w:basedOn w:val="a0"/>
    <w:link w:val="ac"/>
    <w:uiPriority w:val="99"/>
    <w:rsid w:val="00504FF0"/>
    <w:rPr>
      <w:sz w:val="18"/>
      <w:szCs w:val="18"/>
    </w:rPr>
  </w:style>
  <w:style w:type="paragraph" w:styleId="ae">
    <w:name w:val="footer"/>
    <w:basedOn w:val="a"/>
    <w:link w:val="af"/>
    <w:uiPriority w:val="99"/>
    <w:unhideWhenUsed/>
    <w:rsid w:val="00504FF0"/>
    <w:pPr>
      <w:tabs>
        <w:tab w:val="center" w:pos="4153"/>
        <w:tab w:val="right" w:pos="8306"/>
      </w:tabs>
      <w:snapToGrid w:val="0"/>
      <w:spacing w:line="240" w:lineRule="auto"/>
    </w:pPr>
    <w:rPr>
      <w:sz w:val="18"/>
      <w:szCs w:val="18"/>
    </w:rPr>
  </w:style>
  <w:style w:type="character" w:customStyle="1" w:styleId="af">
    <w:name w:val="页脚 字符"/>
    <w:basedOn w:val="a0"/>
    <w:link w:val="ae"/>
    <w:uiPriority w:val="99"/>
    <w:rsid w:val="00504FF0"/>
    <w:rPr>
      <w:sz w:val="18"/>
      <w:szCs w:val="18"/>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file>

<file path=word/_rels/document.xml.rels><?xml version="1.0" encoding="UTF-8" standalone="yes"?>
<Relationships xmlns="http://schemas.openxmlformats.org/package/2006/relationships"><Relationship Id="rId8" Type="http://schemas.openxmlformats.org/officeDocument/2006/relationships/header" Target="header2.xml"/><Relationship Id="rId13" Type="http://schemas.openxmlformats.org/officeDocument/2006/relationships/fontTable" Target="fontTable.xml"/><Relationship Id="rId3" Type="http://schemas.openxmlformats.org/officeDocument/2006/relationships/settings" Target="settings.xml"/><Relationship Id="rId7" Type="http://schemas.openxmlformats.org/officeDocument/2006/relationships/header" Target="header1.xml"/><Relationship Id="rId12" Type="http://schemas.openxmlformats.org/officeDocument/2006/relationships/footer" Target="footer3.xml"/><Relationship Id="rId2" Type="http://schemas.openxmlformats.org/officeDocument/2006/relationships/styles" Target="styles.xml"/><Relationship Id="rId1" Type="http://schemas.openxmlformats.org/officeDocument/2006/relationships/numbering" Target="numbering.xml"/><Relationship Id="rId6" Type="http://schemas.openxmlformats.org/officeDocument/2006/relationships/endnotes" Target="endnotes.xml"/><Relationship Id="rId11" Type="http://schemas.openxmlformats.org/officeDocument/2006/relationships/header" Target="header3.xml"/><Relationship Id="rId5" Type="http://schemas.openxmlformats.org/officeDocument/2006/relationships/footnotes" Target="footnotes.xml"/><Relationship Id="rId10" Type="http://schemas.openxmlformats.org/officeDocument/2006/relationships/footer" Target="footer2.xml"/><Relationship Id="rId4" Type="http://schemas.openxmlformats.org/officeDocument/2006/relationships/webSettings" Target="webSettings.xml"/><Relationship Id="rId9" Type="http://schemas.openxmlformats.org/officeDocument/2006/relationships/footer" Target="footer1.xml"/><Relationship Id="rId14" Type="http://schemas.openxmlformats.org/officeDocument/2006/relationships/theme" Target="theme/theme1.xml"/></Relationships>
</file>

<file path=word/theme/theme1.xml><?xml version="1.0" encoding="utf-8"?>
<a:theme xmlns:a="http://schemas.openxmlformats.org/drawingml/2006/main" name="Office 主题​​">
  <a:themeElements>
    <a:clrScheme name="Office">
      <a:dk1>
        <a:sysClr val="windowText" lastClr="000000"/>
      </a:dk1>
      <a:lt1>
        <a:sysClr val="window" lastClr="FFFFFF"/>
      </a:lt1>
      <a:dk2>
        <a:srgbClr val="44546A"/>
      </a:dk2>
      <a:lt2>
        <a:srgbClr val="E7E6E6"/>
      </a:lt2>
      <a:accent1>
        <a:srgbClr val="4472C4"/>
      </a:accent1>
      <a:accent2>
        <a:srgbClr val="ED7D31"/>
      </a:accent2>
      <a:accent3>
        <a:srgbClr val="A5A5A5"/>
      </a:accent3>
      <a:accent4>
        <a:srgbClr val="FFC000"/>
      </a:accent4>
      <a:accent5>
        <a:srgbClr val="5B9BD5"/>
      </a:accent5>
      <a:accent6>
        <a:srgbClr val="70AD47"/>
      </a:accent6>
      <a:hlink>
        <a:srgbClr val="0563C1"/>
      </a:hlink>
      <a:folHlink>
        <a:srgbClr val="954F72"/>
      </a:folHlink>
    </a:clrScheme>
    <a:fontScheme name="Office">
      <a:majorFont>
        <a:latin typeface="等线 Light" panose="020F0302020204030204"/>
        <a:ea typeface=""/>
        <a:cs typeface=""/>
        <a:font script="Jpan" typeface="游ゴシック Light"/>
        <a:font script="Hang" typeface="맑은 고딕"/>
        <a:font script="Hans" typeface="等线 Light"/>
        <a:font script="Hant" typeface="新細明體"/>
        <a:font script="Arab" typeface="Times New Roman"/>
        <a:font script="Hebr" typeface="Times New Roman"/>
        <a:font script="Thai" typeface="Angsana New"/>
        <a:font script="Ethi" typeface="Nyala"/>
        <a:font script="Beng" typeface="Vrinda"/>
        <a:font script="Gujr" typeface="Shruti"/>
        <a:font script="Khmr" typeface="MoolBoran"/>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Times New Roman"/>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ajorFont>
      <a:minorFont>
        <a:latin typeface="等线" panose="020F0502020204030204"/>
        <a:ea typeface=""/>
        <a:cs typeface=""/>
        <a:font script="Jpan" typeface="游明朝"/>
        <a:font script="Hang" typeface="맑은 고딕"/>
        <a:font script="Hans" typeface="等线"/>
        <a:font script="Hant" typeface="新細明體"/>
        <a:font script="Arab" typeface="Arial"/>
        <a:font script="Hebr" typeface="Arial"/>
        <a:font script="Thai" typeface="Cordia New"/>
        <a:font script="Ethi" typeface="Nyala"/>
        <a:font script="Beng" typeface="Vrinda"/>
        <a:font script="Gujr" typeface="Shruti"/>
        <a:font script="Khmr" typeface="DaunPenh"/>
        <a:font script="Knda" typeface="Tunga"/>
        <a:font script="Guru" typeface="Raavi"/>
        <a:font script="Cans" typeface="Euphemia"/>
        <a:font script="Cher" typeface="Plantagenet Cherokee"/>
        <a:font script="Yiii" typeface="Microsoft Yi Baiti"/>
        <a:font script="Tibt" typeface="Microsoft Himalaya"/>
        <a:font script="Thaa" typeface="MV Boli"/>
        <a:font script="Deva" typeface="Mangal"/>
        <a:font script="Telu" typeface="Gautami"/>
        <a:font script="Taml" typeface="Latha"/>
        <a:font script="Syrc" typeface="Estrangelo Edessa"/>
        <a:font script="Orya" typeface="Kalinga"/>
        <a:font script="Mlym" typeface="Kartika"/>
        <a:font script="Laoo" typeface="DokChampa"/>
        <a:font script="Sinh" typeface="Iskoola Pota"/>
        <a:font script="Mong" typeface="Mongolian Baiti"/>
        <a:font script="Viet" typeface="Arial"/>
        <a:font script="Uigh" typeface="Microsoft Uighur"/>
        <a:font script="Geor" typeface="Sylfaen"/>
        <a:font script="Armn" typeface="Arial"/>
        <a:font script="Bugi" typeface="Leelawadee UI"/>
        <a:font script="Bopo" typeface="Microsoft JhengHei"/>
        <a:font script="Java" typeface="Javanese Text"/>
        <a:font script="Lisu" typeface="Segoe UI"/>
        <a:font script="Mymr" typeface="Myanmar Text"/>
        <a:font script="Nkoo" typeface="Ebrima"/>
        <a:font script="Olck" typeface="Nirmala UI"/>
        <a:font script="Osma" typeface="Ebrima"/>
        <a:font script="Phag" typeface="Phagspa"/>
        <a:font script="Syrn" typeface="Estrangelo Edessa"/>
        <a:font script="Syrj" typeface="Estrangelo Edessa"/>
        <a:font script="Syre" typeface="Estrangelo Edessa"/>
        <a:font script="Sora" typeface="Nirmala UI"/>
        <a:font script="Tale" typeface="Microsoft Tai Le"/>
        <a:font script="Talu" typeface="Microsoft New Tai Lue"/>
        <a:font script="Tfng" typeface="Ebrima"/>
      </a:minorFont>
    </a:fontScheme>
    <a:fmtScheme name="Office">
      <a:fillStyleLst>
        <a:solidFill>
          <a:schemeClr val="phClr"/>
        </a:solidFill>
        <a:gradFill rotWithShape="1">
          <a:gsLst>
            <a:gs pos="0">
              <a:schemeClr val="phClr">
                <a:lumMod val="110000"/>
                <a:satMod val="105000"/>
                <a:tint val="67000"/>
              </a:schemeClr>
            </a:gs>
            <a:gs pos="50000">
              <a:schemeClr val="phClr">
                <a:lumMod val="105000"/>
                <a:satMod val="103000"/>
                <a:tint val="73000"/>
              </a:schemeClr>
            </a:gs>
            <a:gs pos="100000">
              <a:schemeClr val="phClr">
                <a:lumMod val="105000"/>
                <a:satMod val="109000"/>
                <a:tint val="81000"/>
              </a:schemeClr>
            </a:gs>
          </a:gsLst>
          <a:lin ang="5400000" scaled="0"/>
        </a:gradFill>
        <a:gradFill rotWithShape="1">
          <a:gsLst>
            <a:gs pos="0">
              <a:schemeClr val="phClr">
                <a:satMod val="103000"/>
                <a:lumMod val="102000"/>
                <a:tint val="94000"/>
              </a:schemeClr>
            </a:gs>
            <a:gs pos="50000">
              <a:schemeClr val="phClr">
                <a:satMod val="110000"/>
                <a:lumMod val="100000"/>
                <a:shade val="100000"/>
              </a:schemeClr>
            </a:gs>
            <a:gs pos="100000">
              <a:schemeClr val="phClr">
                <a:lumMod val="99000"/>
                <a:satMod val="120000"/>
                <a:shade val="78000"/>
              </a:schemeClr>
            </a:gs>
          </a:gsLst>
          <a:lin ang="5400000" scaled="0"/>
        </a:gradFill>
      </a:fillStyleLst>
      <a:lnStyleLst>
        <a:ln w="6350" cap="flat" cmpd="sng" algn="ctr">
          <a:solidFill>
            <a:schemeClr val="phClr"/>
          </a:solidFill>
          <a:prstDash val="solid"/>
          <a:miter lim="800000"/>
        </a:ln>
        <a:ln w="12700" cap="flat" cmpd="sng" algn="ctr">
          <a:solidFill>
            <a:schemeClr val="phClr"/>
          </a:solidFill>
          <a:prstDash val="solid"/>
          <a:miter lim="800000"/>
        </a:ln>
        <a:ln w="19050" cap="flat" cmpd="sng" algn="ctr">
          <a:solidFill>
            <a:schemeClr val="phClr"/>
          </a:solidFill>
          <a:prstDash val="solid"/>
          <a:miter lim="800000"/>
        </a:ln>
      </a:lnStyleLst>
      <a:effectStyleLst>
        <a:effectStyle>
          <a:effectLst/>
        </a:effectStyle>
        <a:effectStyle>
          <a:effectLst/>
        </a:effectStyle>
        <a:effectStyle>
          <a:effectLst>
            <a:outerShdw blurRad="57150" dist="19050" dir="5400000" algn="ctr" rotWithShape="0">
              <a:srgbClr val="000000">
                <a:alpha val="63000"/>
              </a:srgbClr>
            </a:outerShdw>
          </a:effectLst>
        </a:effectStyle>
      </a:effectStyleLst>
      <a:bgFillStyleLst>
        <a:solidFill>
          <a:schemeClr val="phClr"/>
        </a:solidFill>
        <a:solidFill>
          <a:schemeClr val="phClr">
            <a:tint val="95000"/>
            <a:satMod val="170000"/>
          </a:schemeClr>
        </a:solidFill>
        <a:gradFill rotWithShape="1">
          <a:gsLst>
            <a:gs pos="0">
              <a:schemeClr val="phClr">
                <a:tint val="93000"/>
                <a:satMod val="150000"/>
                <a:shade val="98000"/>
                <a:lumMod val="102000"/>
              </a:schemeClr>
            </a:gs>
            <a:gs pos="50000">
              <a:schemeClr val="phClr">
                <a:tint val="98000"/>
                <a:satMod val="130000"/>
                <a:shade val="90000"/>
                <a:lumMod val="103000"/>
              </a:schemeClr>
            </a:gs>
            <a:gs pos="100000">
              <a:schemeClr val="phClr">
                <a:shade val="63000"/>
                <a:satMod val="120000"/>
              </a:schemeClr>
            </a:gs>
          </a:gsLst>
          <a:lin ang="5400000" scaled="0"/>
        </a:gradFill>
      </a:bgFillStyleLst>
    </a:fmtScheme>
  </a:themeElements>
  <a:objectDefaults/>
  <a:extraClrSchemeLst/>
  <a:extLst>
    <a:ext uri="{05A4C25C-085E-4340-85A3-A5531E510DB2}">
      <thm15:themeFamily xmlns:thm15="http://schemas.microsoft.com/office/thememl/2012/main" name="Office Theme" id="{62F939B6-93AF-4DB8-9C6B-D6C7DFDC589F}" vid="{4A3C46E8-61CC-4603-A589-7422A47A8E4A}"/>
    </a:ext>
  </a:extLst>
</a:theme>
</file>

<file path=docProps/app.xml><?xml version="1.0" encoding="utf-8"?>
<Properties xmlns="http://schemas.openxmlformats.org/officeDocument/2006/extended-properties" xmlns:vt="http://schemas.openxmlformats.org/officeDocument/2006/docPropsVTypes">
  <Template>Normal.dotm</Template>
  <TotalTime>0</TotalTime>
  <Pages>17</Pages>
  <Words>6808</Words>
  <Characters>8375</Characters>
  <Application>Microsoft Office Word</Application>
  <DocSecurity>0</DocSecurity>
  <Lines>322</Lines>
  <Paragraphs>337</Paragraphs>
  <ScaleCrop>false</ScaleCrop>
  <Company/>
  <LinksUpToDate>false</LinksUpToDate>
  <CharactersWithSpaces>14846</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Access-2026-39730 返稿意见与修改指引（中文）</dc:title>
  <dc:subject>IEEE Access resubmission review guide</dc:subject>
  <dc:creator>Codex</dc:creator>
  <dc:description>编辑决定、审稿意见的严谨中文翻译与内部修改指引</dc:description>
  <cp:lastModifiedBy>发财 恭喜</cp:lastModifiedBy>
  <cp:revision>2</cp:revision>
  <dcterms:created xsi:type="dcterms:W3CDTF">2026-09-18T04:07:00Z</dcterms:created>
  <dcterms:modified xsi:type="dcterms:W3CDTF">2026-09-18T04:07:00Z</dcterms:modified>
</cp:coreProperties>
</file>