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A4D2B" w14:textId="77777777" w:rsidR="00C31780" w:rsidRPr="00362E20" w:rsidRDefault="00000000">
      <w:pPr>
        <w:snapToGrid w:val="0"/>
        <w:spacing w:line="580" w:lineRule="exact"/>
        <w:jc w:val="center"/>
        <w:rPr>
          <w:rFonts w:asciiTheme="majorEastAsia" w:eastAsiaTheme="majorEastAsia" w:hAnsiTheme="majorEastAsia" w:cs="方正小标宋_GBK"/>
          <w:kern w:val="0"/>
          <w:sz w:val="44"/>
          <w:szCs w:val="44"/>
          <w:lang w:bidi="ar"/>
        </w:rPr>
      </w:pPr>
      <w:r w:rsidRPr="00362E20">
        <w:rPr>
          <w:rFonts w:asciiTheme="majorEastAsia" w:eastAsiaTheme="majorEastAsia" w:hAnsiTheme="majorEastAsia" w:cs="方正小标宋_GBK" w:hint="eastAsia"/>
          <w:kern w:val="0"/>
          <w:sz w:val="44"/>
          <w:szCs w:val="44"/>
          <w:lang w:bidi="ar"/>
        </w:rPr>
        <w:t>能耗监测分析报告——年报</w:t>
      </w:r>
    </w:p>
    <w:p w14:paraId="5C6F4C2D" w14:textId="0327B55B" w:rsidR="00C31780" w:rsidRPr="00362E20" w:rsidRDefault="00000000">
      <w:pPr>
        <w:snapToGrid w:val="0"/>
        <w:spacing w:line="580" w:lineRule="exact"/>
        <w:jc w:val="center"/>
        <w:rPr>
          <w:rFonts w:asciiTheme="majorEastAsia" w:eastAsiaTheme="majorEastAsia" w:hAnsiTheme="majorEastAsia" w:cs="方正小标宋_GBK"/>
          <w:kern w:val="0"/>
          <w:sz w:val="44"/>
          <w:szCs w:val="44"/>
          <w:lang w:bidi="ar"/>
        </w:rPr>
      </w:pPr>
      <w:r>
        <w:t>（2022年）</w:t>
      </w:r>
    </w:p>
    <w:p w14:paraId="34CA4738" w14:textId="77777777" w:rsidR="00C31780" w:rsidRPr="00362E20" w:rsidRDefault="00000000">
      <w:pPr>
        <w:pStyle w:val="a3"/>
        <w:spacing w:after="0" w:line="560" w:lineRule="exact"/>
        <w:outlineLvl w:val="0"/>
        <w:rPr>
          <w:rFonts w:asciiTheme="majorEastAsia" w:eastAsiaTheme="majorEastAsia" w:hAnsiTheme="majorEastAsia" w:cs="方正楷体_GBK"/>
          <w:b/>
          <w:bCs/>
          <w:kern w:val="0"/>
          <w:sz w:val="32"/>
          <w:szCs w:val="32"/>
          <w:lang w:bidi="ar"/>
        </w:rPr>
      </w:pPr>
      <w:r w:rsidRPr="00362E20">
        <w:rPr>
          <w:rFonts w:asciiTheme="majorEastAsia" w:eastAsiaTheme="majorEastAsia" w:hAnsiTheme="majorEastAsia" w:cs="方正楷体_GBK" w:hint="eastAsia"/>
          <w:b/>
          <w:bCs/>
          <w:kern w:val="0"/>
          <w:sz w:val="32"/>
          <w:szCs w:val="32"/>
          <w:lang w:bidi="ar"/>
        </w:rPr>
        <w:t>本期报告摘要</w:t>
      </w:r>
      <w:r w:rsidRPr="00362E20">
        <w:rPr>
          <w:rStyle w:val="a7"/>
          <w:rFonts w:asciiTheme="majorEastAsia" w:eastAsiaTheme="majorEastAsia" w:hAnsiTheme="majorEastAsia" w:cs="方正仿宋_GBK" w:hint="eastAsia"/>
          <w:sz w:val="32"/>
          <w:szCs w:val="32"/>
        </w:rPr>
        <w:footnoteReference w:id="1"/>
      </w:r>
      <w:r w:rsidRPr="00362E20">
        <w:rPr>
          <w:rFonts w:asciiTheme="majorEastAsia" w:eastAsiaTheme="majorEastAsia" w:hAnsiTheme="majorEastAsia" w:cs="方正楷体_GBK" w:hint="eastAsia"/>
          <w:b/>
          <w:bCs/>
          <w:kern w:val="0"/>
          <w:sz w:val="32"/>
          <w:szCs w:val="32"/>
          <w:lang w:bidi="ar"/>
        </w:rPr>
        <w:t>：</w:t>
      </w:r>
    </w:p>
    <w:p w14:paraId="45FDE99C" w14:textId="0FECCC01" w:rsidR="00C31780" w:rsidRPr="003641D9" w:rsidRDefault="00000000" w:rsidP="003641D9">
      <w:pPr>
        <w:spacing w:line="580" w:lineRule="exact"/>
        <w:rPr>
          <w:rFonts w:asciiTheme="majorEastAsia" w:eastAsiaTheme="majorEastAsia" w:hAnsiTheme="majorEastAsia" w:cs="方正仿宋_GBK"/>
          <w:i/>
          <w:iCs/>
          <w:color w:val="0000FF"/>
          <w:sz w:val="24"/>
        </w:rPr>
      </w:pPr>
      <w:r w:rsidRPr="00362E20">
        <w:rPr>
          <w:rFonts w:asciiTheme="majorEastAsia" w:eastAsiaTheme="majorEastAsia" w:hAnsiTheme="majorEastAsia" w:cs="方正仿宋_GBK" w:hint="eastAsia"/>
          <w:i/>
          <w:iCs/>
          <w:color w:val="0000FF"/>
          <w:sz w:val="24"/>
        </w:rPr>
        <w:t>（说明：摘要的部分内容可根据每期数据不同动态处理。）</w:t>
      </w:r>
    </w:p>
    <w:p w14:paraId="4024E8AA" w14:textId="4007231C" w:rsidR="00BE2823" w:rsidRPr="00362E20" w:rsidRDefault="00BE2823">
      <w:pPr>
        <w:spacing w:line="560" w:lineRule="exact"/>
        <w:ind w:firstLineChars="200" w:firstLine="480"/>
        <w:rPr>
          <w:rFonts w:asciiTheme="majorEastAsia" w:eastAsiaTheme="majorEastAsia" w:hAnsiTheme="majorEastAsia" w:cs="方正仿宋_GBK"/>
          <w:sz w:val="24"/>
        </w:rPr>
      </w:pPr>
      <w:r>
        <w:t>2022年湖北能源消费分析揭示了经济复苏与双碳目标间的深层矛盾：能源消费与GDP的刚性联动（弹性系数≈1）暴露出增长模式转型的滞后性，而能耗强度不降反增（+1.07%）更凸显传统节能减排路径的失效。特别值得注意的是，高耗能行业中化学纤维制造业（增速263.62%）等异常增长信号，暗示新兴产业爆发可能带来能效波动风险，这种结构性矛盾使得"十四五"降耗目标（需未来两年年均下降1316.86%）几乎成为不可能任务。报告实质上指出了一个关键悖论——湖北既面临经济复苏催生的传统能源需求惯性，又遭遇新兴产业非常规能耗的突袭，这种双重压力下，单纯政策调控已难以破局，亟需通过颠覆性能效技术重构产业-能源协同体系。全球数据对比进一步显示，这种矛盾具有普遍性，但湖北作为工业大省的特殊性在于其产业结构转型正同时经历"存量优化"与"增量博弈"的双重考验。</w:t>
      </w:r>
    </w:p>
    <w:p w14:paraId="197FC82B" w14:textId="3FC674C6" w:rsidR="00C31780" w:rsidRPr="00362E20" w:rsidRDefault="00362E20" w:rsidP="00362E20">
      <w:pPr>
        <w:pStyle w:val="a8"/>
        <w:widowControl/>
        <w:numPr>
          <w:ilvl w:val="0"/>
          <w:numId w:val="1"/>
        </w:numPr>
        <w:ind w:firstLineChars="0"/>
        <w:rPr>
          <w:rFonts w:asciiTheme="majorEastAsia" w:eastAsiaTheme="majorEastAsia" w:hAnsiTheme="majorEastAsia" w:cs="黑体"/>
          <w:kern w:val="0"/>
          <w:sz w:val="32"/>
          <w:szCs w:val="32"/>
          <w:lang w:bidi="ar"/>
        </w:rPr>
      </w:pPr>
      <w:r>
        <w:t>湖北能源消费情况</w:t>
      </w:r>
    </w:p>
    <w:p w14:paraId="562ED7D0" w14:textId="778C05BF" w:rsidR="00C31780" w:rsidRPr="00362E20" w:rsidRDefault="00000000">
      <w:pPr>
        <w:spacing w:line="560" w:lineRule="exact"/>
        <w:ind w:firstLineChars="200" w:firstLine="480"/>
        <w:rPr>
          <w:rFonts w:asciiTheme="majorEastAsia" w:eastAsiaTheme="majorEastAsia" w:hAnsiTheme="majorEastAsia" w:cs="方正仿宋_GBK"/>
          <w:i/>
          <w:iCs/>
          <w:color w:val="0000FF"/>
          <w:kern w:val="0"/>
          <w:sz w:val="24"/>
          <w:lang w:bidi="ar"/>
        </w:rPr>
      </w:pPr>
      <w:r w:rsidRPr="00362E20">
        <w:rPr>
          <w:rFonts w:asciiTheme="majorEastAsia" w:eastAsiaTheme="majorEastAsia" w:hAnsiTheme="majorEastAsia" w:cs="方正仿宋_GBK" w:hint="eastAsia"/>
          <w:i/>
          <w:iCs/>
          <w:color w:val="0000FF"/>
          <w:kern w:val="0"/>
          <w:sz w:val="24"/>
          <w:lang w:bidi="ar"/>
        </w:rPr>
        <w:t>(说明：本小节主要包括当年</w:t>
      </w:r>
      <w:r w:rsidR="00362E20">
        <w:rPr>
          <w:rFonts w:asciiTheme="majorEastAsia" w:eastAsiaTheme="majorEastAsia" w:hAnsiTheme="majorEastAsia" w:cs="方正仿宋_GBK" w:hint="eastAsia"/>
          <w:i/>
          <w:iCs/>
          <w:color w:val="0000FF"/>
          <w:kern w:val="0"/>
          <w:sz w:val="24"/>
          <w:lang w:bidi="ar"/>
        </w:rPr>
        <w:t>省</w:t>
      </w:r>
      <w:r w:rsidRPr="00362E20">
        <w:rPr>
          <w:rFonts w:asciiTheme="majorEastAsia" w:eastAsiaTheme="majorEastAsia" w:hAnsiTheme="majorEastAsia" w:cs="方正仿宋_GBK" w:hint="eastAsia"/>
          <w:i/>
          <w:iCs/>
          <w:color w:val="0000FF"/>
          <w:kern w:val="0"/>
          <w:sz w:val="24"/>
          <w:lang w:bidi="ar"/>
        </w:rPr>
        <w:t>消费总量及强度分析、2020年至当年</w:t>
      </w:r>
      <w:r w:rsidR="00362E20">
        <w:rPr>
          <w:rFonts w:asciiTheme="majorEastAsia" w:eastAsiaTheme="majorEastAsia" w:hAnsiTheme="majorEastAsia" w:cs="方正仿宋_GBK" w:hint="eastAsia"/>
          <w:i/>
          <w:iCs/>
          <w:color w:val="0000FF"/>
          <w:kern w:val="0"/>
          <w:sz w:val="24"/>
          <w:lang w:bidi="ar"/>
        </w:rPr>
        <w:t>省</w:t>
      </w:r>
      <w:r w:rsidRPr="00362E20">
        <w:rPr>
          <w:rFonts w:asciiTheme="majorEastAsia" w:eastAsiaTheme="majorEastAsia" w:hAnsiTheme="majorEastAsia" w:cs="方正仿宋_GBK" w:hint="eastAsia"/>
          <w:i/>
          <w:iCs/>
          <w:color w:val="0000FF"/>
          <w:kern w:val="0"/>
          <w:sz w:val="24"/>
          <w:lang w:bidi="ar"/>
        </w:rPr>
        <w:t>总量趋势分析、十四五强度目标分析3部分，可按实际分析结果、结论进行补充。)</w:t>
      </w:r>
    </w:p>
    <w:p w14:paraId="5E1A1742" w14:textId="5582E3F5" w:rsidR="00C31780" w:rsidRPr="00362E20" w:rsidRDefault="00362E20">
      <w:pPr>
        <w:spacing w:line="580" w:lineRule="exact"/>
        <w:ind w:firstLineChars="200" w:firstLine="489"/>
        <w:rPr>
          <w:rFonts w:asciiTheme="majorEastAsia" w:eastAsiaTheme="majorEastAsia" w:hAnsiTheme="majorEastAsia" w:cs="方正仿宋_GBK"/>
          <w:sz w:val="24"/>
        </w:rPr>
      </w:pPr>
      <w:r>
        <w:t>2022年，湖北省能源消费总量与能耗强度呈现同步增长，反映出经济复苏背景下能源需求与GDP扩张的联动性。这一趋势提示在双碳目标约束下，湖北需进一步优化产业结构与能效水平，平衡经济增长与绿色转型的关系。能源消费弹性系数接近1的现状，也凸显出传统增长模式向高质量发展转型的紧迫性。2022年，湖北能源消费总量1415.00亿吨标准煤，较统计局发布的2021（前一年）年总量1316.86亿吨标准煤同比增长1.07%。结合国家统计局国内生产总值数据计算，2022年湖北能耗强度同比增长1.07%。</w:t>
      </w:r>
    </w:p>
    <w:p w14:paraId="29FB30DF" w14:textId="113A4167" w:rsidR="00C31780" w:rsidRDefault="00362E20">
      <w:pPr>
        <w:spacing w:line="560" w:lineRule="exact"/>
        <w:ind w:firstLineChars="200" w:firstLine="489"/>
        <w:rPr>
          <w:rFonts w:asciiTheme="majorEastAsia" w:eastAsiaTheme="majorEastAsia" w:hAnsiTheme="majorEastAsia" w:cs="方正仿宋_GBK"/>
          <w:sz w:val="24"/>
        </w:rPr>
      </w:pPr>
      <w:r>
        <w:t>2022年全球能源消费总量延续增长态势，其同比增速明显超过历史平均水平和累计增速，反映出后疫情时代经济复苏与能源需求反弹的强劲动力。这一现象揭示了全球能源转型进程中的阶段性特征——尽管清洁能源占比持续提升，传统能源消费仍因工业活动恢复呈现短期增长惯性。值得注意的是，增速差异或预示着能源消费结构正在经历非线性演变，区域发展不均衡与极端气候等因素正在重塑传统能源需求模型。由1040.06亿吨标准煤增长至1415.00亿吨标准煤，累计增速1.36%，平均增速0.68%。2022年总量同比增速高于该值。</w:t>
      </w:r>
    </w:p>
    <w:p w14:paraId="739C8C57" w14:textId="49E4BD82" w:rsidR="00B657EE" w:rsidRPr="00362E20" w:rsidRDefault="00B657EE">
      <w:pPr>
        <w:spacing w:line="560" w:lineRule="exact"/>
        <w:ind w:firstLineChars="200" w:firstLine="480"/>
        <w:rPr>
          <w:rFonts w:asciiTheme="majorEastAsia" w:eastAsiaTheme="majorEastAsia" w:hAnsiTheme="majorEastAsia" w:cs="方正仿宋_GBK"/>
          <w:sz w:val="24"/>
        </w:rPr>
      </w:pPr>
      <w:r>
        <w:rPr>
          <w:rFonts w:asciiTheme="majorEastAsia" w:eastAsiaTheme="majorEastAsia" w:hAnsiTheme="majorEastAsia" w:cs="方正仿宋_GBK"/>
          <w:kern w:val="0"/>
          <w:sz w:val="24"/>
          <w:lang w:bidi="ar"/>
        </w:rPr>
        <w:t>&lt;placeholder_</w:t>
      </w:r>
      <w:r>
        <w:rPr>
          <w:rFonts w:asciiTheme="majorEastAsia" w:eastAsiaTheme="majorEastAsia" w:hAnsiTheme="majorEastAsia" w:cs="方正仿宋_GBK" w:hint="eastAsia"/>
          <w:kern w:val="0"/>
          <w:sz w:val="24"/>
          <w:lang w:bidi="ar"/>
        </w:rPr>
        <w:t>im</w:t>
      </w:r>
      <w:r>
        <w:rPr>
          <w:rFonts w:asciiTheme="majorEastAsia" w:eastAsiaTheme="majorEastAsia" w:hAnsiTheme="majorEastAsia" w:cs="方正仿宋_GBK"/>
          <w:kern w:val="0"/>
          <w:sz w:val="24"/>
          <w:lang w:bidi="ar"/>
        </w:rPr>
        <w:t>g1&gt;</w:t>
      </w:r>
    </w:p>
    <w:p w14:paraId="248E9216" w14:textId="77777777" w:rsidR="00C31780" w:rsidRPr="00362E20" w:rsidRDefault="00000000">
      <w:pPr>
        <w:rPr>
          <w:rFonts w:asciiTheme="majorEastAsia" w:eastAsiaTheme="majorEastAsia" w:hAnsiTheme="majorEastAsia" w:cs="方正仿宋_GBK"/>
          <w:kern w:val="0"/>
          <w:sz w:val="32"/>
          <w:szCs w:val="32"/>
          <w:lang w:bidi="ar"/>
        </w:rPr>
      </w:pPr>
      <w:r w:rsidRPr="00362E20">
        <w:rPr>
          <w:rFonts w:asciiTheme="majorEastAsia" w:eastAsiaTheme="majorEastAsia" w:hAnsiTheme="majorEastAsia" w:cs="方正仿宋_GBK" w:hint="eastAsia"/>
          <w:noProof/>
          <w:kern w:val="0"/>
          <w:sz w:val="32"/>
          <w:szCs w:val="32"/>
          <w:lang w:bidi="ar"/>
        </w:rPr>
        <w:lastRenderedPageBreak/>
        <w:drawing>
          <wp:inline distT="0" distB="0" distL="114300" distR="114300" wp14:anchorId="5438ABA4" wp14:editId="1D1D95DC">
            <wp:extent cx="5268595" cy="2479675"/>
            <wp:effectExtent l="0" t="0" r="4445" b="444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7"/>
                    <a:stretch>
                      <a:fillRect/>
                    </a:stretch>
                  </pic:blipFill>
                  <pic:spPr>
                    <a:xfrm>
                      <a:off x="0" y="0"/>
                      <a:ext cx="5268595" cy="2479675"/>
                    </a:xfrm>
                    <a:prstGeom prst="rect">
                      <a:avLst/>
                    </a:prstGeom>
                  </pic:spPr>
                </pic:pic>
              </a:graphicData>
            </a:graphic>
          </wp:inline>
        </w:drawing>
      </w:r>
    </w:p>
    <w:p w14:paraId="0C871CE1" w14:textId="494CDF64" w:rsidR="00C31780" w:rsidRPr="00362E20" w:rsidRDefault="00000000">
      <w:pPr>
        <w:snapToGrid w:val="0"/>
        <w:jc w:val="center"/>
        <w:rPr>
          <w:rFonts w:asciiTheme="majorEastAsia" w:eastAsiaTheme="majorEastAsia" w:hAnsiTheme="majorEastAsia" w:cs="方正楷体_GBK"/>
          <w:kern w:val="0"/>
          <w:szCs w:val="21"/>
          <w:lang w:bidi="ar"/>
        </w:rPr>
      </w:pPr>
      <w:r>
        <w:t>图1 湖北能源消费总量和同比变化</w:t>
      </w:r>
    </w:p>
    <w:p w14:paraId="366B90C5" w14:textId="02EBB7BB" w:rsidR="00C31780" w:rsidRDefault="00024594">
      <w:pPr>
        <w:spacing w:line="560" w:lineRule="exact"/>
        <w:ind w:firstLineChars="200" w:firstLine="489"/>
        <w:rPr>
          <w:rFonts w:asciiTheme="majorEastAsia" w:eastAsiaTheme="majorEastAsia" w:hAnsiTheme="majorEastAsia" w:cs="方正仿宋_GBK"/>
          <w:sz w:val="24"/>
        </w:rPr>
      </w:pPr>
      <w:r>
        <w:t>2022年，中国能耗强度控制面临严峻挑战，实际进展与"十四五"节能减排目标存在显著差距。数据显示当前节能措施成效不足，反映出产业结构转型与能源效率提升仍存在深层次矛盾。若要如期达标，未来两年需采取超常规手段，这一异常高的年均降耗要求揭示了传统渐进式节能减排路径已难以满足目标，亟需系统性变革与技术突破。这既暴露了双碳目标下经济增长与节能减排的平衡难题，也预示着未来政策可能转向更激进的绿色技术创新和产业重组。2022年较2020年能耗强度累计下降-0.05%，较《“十四五”节能减排综合工作方案》提出的“到2025年，全国单位国内生产总值能源消耗比2020年下降13.5%”的目标要求，完成约-0.38%。为如期完成既定目标，能耗强度下降今后2.00年需保持在年均1316.86%。</w:t>
      </w:r>
    </w:p>
    <w:p w14:paraId="2D6FACF0" w14:textId="13883857" w:rsidR="00B657EE" w:rsidRPr="00362E20" w:rsidRDefault="00B657EE" w:rsidP="00B657EE">
      <w:pPr>
        <w:spacing w:line="560" w:lineRule="exact"/>
        <w:ind w:firstLineChars="200" w:firstLine="480"/>
        <w:rPr>
          <w:rFonts w:asciiTheme="majorEastAsia" w:eastAsiaTheme="majorEastAsia" w:hAnsiTheme="majorEastAsia" w:cs="方正仿宋_GBK"/>
          <w:sz w:val="24"/>
        </w:rPr>
      </w:pPr>
      <w:r>
        <w:rPr>
          <w:rFonts w:asciiTheme="majorEastAsia" w:eastAsiaTheme="majorEastAsia" w:hAnsiTheme="majorEastAsia" w:cs="方正仿宋_GBK"/>
          <w:kern w:val="0"/>
          <w:sz w:val="24"/>
          <w:lang w:bidi="ar"/>
        </w:rPr>
        <w:t>&lt;placeholder_</w:t>
      </w:r>
      <w:r>
        <w:rPr>
          <w:rFonts w:asciiTheme="majorEastAsia" w:eastAsiaTheme="majorEastAsia" w:hAnsiTheme="majorEastAsia" w:cs="方正仿宋_GBK" w:hint="eastAsia"/>
          <w:kern w:val="0"/>
          <w:sz w:val="24"/>
          <w:lang w:bidi="ar"/>
        </w:rPr>
        <w:t>im</w:t>
      </w:r>
      <w:r>
        <w:rPr>
          <w:rFonts w:asciiTheme="majorEastAsia" w:eastAsiaTheme="majorEastAsia" w:hAnsiTheme="majorEastAsia" w:cs="方正仿宋_GBK"/>
          <w:kern w:val="0"/>
          <w:sz w:val="24"/>
          <w:lang w:bidi="ar"/>
        </w:rPr>
        <w:t>g2&gt;</w:t>
      </w:r>
    </w:p>
    <w:p w14:paraId="579DB5C6" w14:textId="77777777" w:rsidR="00C31780" w:rsidRPr="00362E20" w:rsidRDefault="00000000">
      <w:pPr>
        <w:jc w:val="center"/>
        <w:rPr>
          <w:rFonts w:asciiTheme="majorEastAsia" w:eastAsiaTheme="majorEastAsia" w:hAnsiTheme="majorEastAsia" w:cs="方正楷体_GBK"/>
          <w:kern w:val="0"/>
          <w:sz w:val="28"/>
          <w:szCs w:val="28"/>
          <w:lang w:bidi="ar"/>
        </w:rPr>
      </w:pPr>
      <w:r w:rsidRPr="00362E20">
        <w:rPr>
          <w:rFonts w:asciiTheme="majorEastAsia" w:eastAsiaTheme="majorEastAsia" w:hAnsiTheme="majorEastAsia" w:cs="方正楷体_GBK" w:hint="eastAsia"/>
          <w:noProof/>
          <w:kern w:val="0"/>
          <w:sz w:val="28"/>
          <w:szCs w:val="28"/>
          <w:lang w:bidi="ar"/>
        </w:rPr>
        <w:drawing>
          <wp:inline distT="0" distB="0" distL="114300" distR="114300" wp14:anchorId="130AE640" wp14:editId="242FEA1C">
            <wp:extent cx="5268595" cy="2479675"/>
            <wp:effectExtent l="0" t="0" r="4445" b="4445"/>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8"/>
                    <a:stretch>
                      <a:fillRect/>
                    </a:stretch>
                  </pic:blipFill>
                  <pic:spPr>
                    <a:xfrm>
                      <a:off x="0" y="0"/>
                      <a:ext cx="5268595" cy="2479675"/>
                    </a:xfrm>
                    <a:prstGeom prst="rect">
                      <a:avLst/>
                    </a:prstGeom>
                  </pic:spPr>
                </pic:pic>
              </a:graphicData>
            </a:graphic>
          </wp:inline>
        </w:drawing>
      </w:r>
    </w:p>
    <w:p w14:paraId="58534F76" w14:textId="34F9B8B7" w:rsidR="00C31780" w:rsidRPr="00362E20" w:rsidRDefault="00000000">
      <w:pPr>
        <w:snapToGrid w:val="0"/>
        <w:jc w:val="center"/>
        <w:rPr>
          <w:rFonts w:asciiTheme="majorEastAsia" w:eastAsiaTheme="majorEastAsia" w:hAnsiTheme="majorEastAsia" w:cs="方正楷体_GBK"/>
          <w:kern w:val="0"/>
          <w:szCs w:val="21"/>
          <w:lang w:bidi="ar"/>
        </w:rPr>
      </w:pPr>
      <w:r>
        <w:t>图2 全国2020-2022年能耗强度变化</w:t>
      </w:r>
    </w:p>
    <w:p w14:paraId="485989DE" w14:textId="77777777" w:rsidR="00C31780" w:rsidRPr="00362E20" w:rsidRDefault="00000000">
      <w:pPr>
        <w:pStyle w:val="a3"/>
        <w:spacing w:after="0" w:line="580" w:lineRule="exact"/>
        <w:ind w:firstLineChars="200" w:firstLine="640"/>
        <w:outlineLvl w:val="0"/>
        <w:rPr>
          <w:rFonts w:asciiTheme="majorEastAsia" w:eastAsiaTheme="majorEastAsia" w:hAnsiTheme="majorEastAsia" w:cs="黑体"/>
          <w:kern w:val="0"/>
          <w:sz w:val="32"/>
          <w:szCs w:val="32"/>
          <w:lang w:bidi="ar"/>
        </w:rPr>
      </w:pPr>
      <w:r w:rsidRPr="00362E20">
        <w:rPr>
          <w:rFonts w:asciiTheme="majorEastAsia" w:eastAsiaTheme="majorEastAsia" w:hAnsiTheme="majorEastAsia" w:cs="黑体" w:hint="eastAsia"/>
          <w:kern w:val="0"/>
          <w:sz w:val="32"/>
          <w:szCs w:val="32"/>
          <w:lang w:bidi="ar"/>
        </w:rPr>
        <w:t>二、分行业能源消费情况</w:t>
      </w:r>
    </w:p>
    <w:p w14:paraId="2E0ADCF8" w14:textId="77777777" w:rsidR="00C31780" w:rsidRPr="00362E20" w:rsidRDefault="00000000">
      <w:pPr>
        <w:spacing w:line="560" w:lineRule="exact"/>
        <w:ind w:firstLineChars="200" w:firstLine="480"/>
        <w:rPr>
          <w:rFonts w:asciiTheme="majorEastAsia" w:eastAsiaTheme="majorEastAsia" w:hAnsiTheme="majorEastAsia" w:cs="方正仿宋_GBK"/>
          <w:b/>
          <w:bCs/>
          <w:color w:val="0000FF"/>
          <w:kern w:val="0"/>
          <w:sz w:val="24"/>
          <w:lang w:bidi="ar"/>
        </w:rPr>
      </w:pPr>
      <w:r w:rsidRPr="00362E20">
        <w:rPr>
          <w:rFonts w:asciiTheme="majorEastAsia" w:eastAsiaTheme="majorEastAsia" w:hAnsiTheme="majorEastAsia" w:cs="方正仿宋_GBK" w:hint="eastAsia"/>
          <w:i/>
          <w:iCs/>
          <w:color w:val="0000FF"/>
          <w:kern w:val="0"/>
          <w:sz w:val="24"/>
          <w:lang w:bidi="ar"/>
        </w:rPr>
        <w:t>(说明：本小节主要包括当年各行业消费总量分析、2020年至当年各行业总量趋势分析2部分，</w:t>
      </w:r>
      <w:r w:rsidRPr="00362E20">
        <w:rPr>
          <w:rFonts w:asciiTheme="majorEastAsia" w:eastAsiaTheme="majorEastAsia" w:hAnsiTheme="majorEastAsia" w:cs="方正仿宋_GBK" w:hint="eastAsia"/>
          <w:i/>
          <w:iCs/>
          <w:color w:val="0000FF"/>
          <w:sz w:val="24"/>
        </w:rPr>
        <w:t>各省可按具体情况增加其它细分行业的分析。</w:t>
      </w:r>
      <w:r w:rsidRPr="00362E20">
        <w:rPr>
          <w:rFonts w:asciiTheme="majorEastAsia" w:eastAsiaTheme="majorEastAsia" w:hAnsiTheme="majorEastAsia" w:cs="方正仿宋_GBK" w:hint="eastAsia"/>
          <w:i/>
          <w:iCs/>
          <w:color w:val="0000FF"/>
          <w:kern w:val="0"/>
          <w:sz w:val="24"/>
          <w:lang w:bidi="ar"/>
        </w:rPr>
        <w:t>)</w:t>
      </w:r>
    </w:p>
    <w:p w14:paraId="71CBEF55" w14:textId="27F433F6" w:rsidR="00C31780" w:rsidRPr="00362E20" w:rsidRDefault="00024594">
      <w:pPr>
        <w:numPr>
          <w:ilvl w:val="255"/>
          <w:numId w:val="0"/>
        </w:numPr>
        <w:spacing w:line="560" w:lineRule="exact"/>
        <w:ind w:firstLineChars="200" w:firstLine="489"/>
        <w:rPr>
          <w:rFonts w:asciiTheme="majorEastAsia" w:eastAsiaTheme="majorEastAsia" w:hAnsiTheme="majorEastAsia" w:cs="方正仿宋_GBK"/>
          <w:sz w:val="24"/>
        </w:rPr>
      </w:pPr>
      <w:r>
        <w:t>2022年，能源消费格局凸显高耗能行业的主导地位，其中电力热力行业与化工制造业成为能源需求的双核心，反映出基础工业与民生保障的强关联性。值得关注的是，化学纤维和开采辅助行业呈现异常增长态势，这可能预示着新兴材料产业的快速扩张或传统能源开采技术升级带来的阶段性能耗激增，需警惕结构性转型中的能源效率波动风险。数据背后折射出我国能源消费正面临传统产业支撑与新兴产业爆发双重驱动的复杂局面。能源消费总量排名前二的为电力、热力生产和供应业行业、化学原料和化学制品制造业行业。能源消费总量同比增速排名前二的为化学纤维制造业行业nan%、开采辅助活动行业263.62%。</w:t>
      </w:r>
    </w:p>
    <w:p w14:paraId="7B351366" w14:textId="77777777" w:rsidR="00C31780" w:rsidRDefault="00C31780">
      <w:pPr>
        <w:numPr>
          <w:ilvl w:val="255"/>
          <w:numId w:val="0"/>
        </w:numPr>
        <w:spacing w:line="560" w:lineRule="exact"/>
        <w:ind w:firstLineChars="200" w:firstLine="480"/>
        <w:rPr>
          <w:rFonts w:asciiTheme="majorEastAsia" w:eastAsiaTheme="majorEastAsia" w:hAnsiTheme="majorEastAsia" w:cs="方正仿宋_GBK"/>
          <w:sz w:val="24"/>
        </w:rPr>
      </w:pPr>
    </w:p>
    <w:p w14:paraId="55016257" w14:textId="19B3D55F" w:rsidR="00B657EE" w:rsidRPr="00362E20" w:rsidRDefault="00B657EE" w:rsidP="00B657EE">
      <w:pPr>
        <w:spacing w:line="560" w:lineRule="exact"/>
        <w:ind w:firstLineChars="200" w:firstLine="480"/>
        <w:rPr>
          <w:rFonts w:asciiTheme="majorEastAsia" w:eastAsiaTheme="majorEastAsia" w:hAnsiTheme="majorEastAsia" w:cs="方正仿宋_GBK"/>
          <w:sz w:val="24"/>
        </w:rPr>
      </w:pPr>
      <w:r>
        <w:rPr>
          <w:rFonts w:asciiTheme="majorEastAsia" w:eastAsiaTheme="majorEastAsia" w:hAnsiTheme="majorEastAsia" w:cs="方正仿宋_GBK"/>
          <w:kern w:val="0"/>
          <w:sz w:val="24"/>
          <w:lang w:bidi="ar"/>
        </w:rPr>
        <w:t>&lt;placeholder_</w:t>
      </w:r>
      <w:r>
        <w:rPr>
          <w:rFonts w:asciiTheme="majorEastAsia" w:eastAsiaTheme="majorEastAsia" w:hAnsiTheme="majorEastAsia" w:cs="方正仿宋_GBK" w:hint="eastAsia"/>
          <w:kern w:val="0"/>
          <w:sz w:val="24"/>
          <w:lang w:bidi="ar"/>
        </w:rPr>
        <w:t>im</w:t>
      </w:r>
      <w:r>
        <w:rPr>
          <w:rFonts w:asciiTheme="majorEastAsia" w:eastAsiaTheme="majorEastAsia" w:hAnsiTheme="majorEastAsia" w:cs="方正仿宋_GBK"/>
          <w:kern w:val="0"/>
          <w:sz w:val="24"/>
          <w:lang w:bidi="ar"/>
        </w:rPr>
        <w:t>g3&gt;</w:t>
      </w:r>
    </w:p>
    <w:p w14:paraId="3E3621A5" w14:textId="77777777" w:rsidR="00C31780" w:rsidRPr="00362E20" w:rsidRDefault="00000000">
      <w:pPr>
        <w:numPr>
          <w:ilvl w:val="255"/>
          <w:numId w:val="0"/>
        </w:numPr>
        <w:rPr>
          <w:rFonts w:asciiTheme="majorEastAsia" w:eastAsiaTheme="majorEastAsia" w:hAnsiTheme="majorEastAsia" w:cs="方正仿宋_GBK"/>
          <w:spacing w:val="-6"/>
          <w:kern w:val="0"/>
          <w:sz w:val="32"/>
          <w:szCs w:val="32"/>
          <w:lang w:bidi="ar"/>
        </w:rPr>
      </w:pPr>
      <w:r w:rsidRPr="00362E20">
        <w:rPr>
          <w:rFonts w:asciiTheme="majorEastAsia" w:eastAsiaTheme="majorEastAsia" w:hAnsiTheme="majorEastAsia" w:cs="方正仿宋_GBK" w:hint="eastAsia"/>
          <w:noProof/>
          <w:spacing w:val="-6"/>
          <w:kern w:val="0"/>
          <w:sz w:val="32"/>
          <w:szCs w:val="32"/>
          <w:lang w:bidi="ar"/>
        </w:rPr>
        <w:drawing>
          <wp:inline distT="0" distB="0" distL="114300" distR="114300" wp14:anchorId="5D350B3D" wp14:editId="56FCFF8C">
            <wp:extent cx="5268595" cy="2479675"/>
            <wp:effectExtent l="0" t="0" r="4445" b="4445"/>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9"/>
                    <a:stretch>
                      <a:fillRect/>
                    </a:stretch>
                  </pic:blipFill>
                  <pic:spPr>
                    <a:xfrm>
                      <a:off x="0" y="0"/>
                      <a:ext cx="5268595" cy="2479675"/>
                    </a:xfrm>
                    <a:prstGeom prst="rect">
                      <a:avLst/>
                    </a:prstGeom>
                  </pic:spPr>
                </pic:pic>
              </a:graphicData>
            </a:graphic>
          </wp:inline>
        </w:drawing>
      </w:r>
    </w:p>
    <w:p w14:paraId="3DB59EDE" w14:textId="25765AB1" w:rsidR="00C31780" w:rsidRPr="00362E20" w:rsidRDefault="00000000">
      <w:pPr>
        <w:snapToGrid w:val="0"/>
        <w:jc w:val="center"/>
        <w:rPr>
          <w:rFonts w:asciiTheme="majorEastAsia" w:eastAsiaTheme="majorEastAsia" w:hAnsiTheme="majorEastAsia" w:cs="方正楷体_GBK"/>
          <w:kern w:val="0"/>
          <w:szCs w:val="21"/>
          <w:lang w:bidi="ar"/>
        </w:rPr>
      </w:pPr>
      <w:r>
        <w:t>图3 各行业2022年能源消费总量和占比</w:t>
      </w:r>
    </w:p>
    <w:p w14:paraId="7B9C8203" w14:textId="77777777" w:rsidR="00C31780" w:rsidRPr="00362E20" w:rsidRDefault="00000000">
      <w:pPr>
        <w:snapToGrid w:val="0"/>
        <w:jc w:val="center"/>
        <w:rPr>
          <w:rFonts w:asciiTheme="majorEastAsia" w:eastAsiaTheme="majorEastAsia" w:hAnsiTheme="majorEastAsia" w:cs="方正楷体_GBK"/>
          <w:i/>
          <w:iCs/>
          <w:color w:val="0000FF"/>
          <w:kern w:val="0"/>
          <w:szCs w:val="21"/>
          <w:lang w:bidi="ar"/>
        </w:rPr>
      </w:pPr>
      <w:r w:rsidRPr="00362E20">
        <w:rPr>
          <w:rFonts w:asciiTheme="majorEastAsia" w:eastAsiaTheme="majorEastAsia" w:hAnsiTheme="majorEastAsia" w:cs="方正楷体_GBK" w:hint="eastAsia"/>
          <w:i/>
          <w:iCs/>
          <w:color w:val="0000FF"/>
          <w:kern w:val="0"/>
          <w:szCs w:val="21"/>
          <w:lang w:bidi="ar"/>
        </w:rPr>
        <w:t>（说明：图中可对总量、占比进行标识）</w:t>
      </w:r>
    </w:p>
    <w:p w14:paraId="1E156A77" w14:textId="3B6A3306" w:rsidR="00C31780" w:rsidRPr="00362E20" w:rsidRDefault="003324A5">
      <w:pPr>
        <w:numPr>
          <w:ilvl w:val="255"/>
          <w:numId w:val="0"/>
        </w:numPr>
        <w:spacing w:line="580" w:lineRule="exact"/>
        <w:ind w:firstLineChars="200" w:firstLine="489"/>
        <w:rPr>
          <w:rFonts w:asciiTheme="majorEastAsia" w:eastAsiaTheme="majorEastAsia" w:hAnsiTheme="majorEastAsia"/>
          <w:sz w:val="24"/>
        </w:rPr>
      </w:pPr>
      <w:r>
        <w:t>2022年，全球能源消费呈现跨行业普涨态势，反映出经济复苏与产业活动增强的深层联动。值得关注的是，新兴技术产业与传统制造业的能源需求分化加剧，暗示产业结构升级对能源消费模式产生结构性影响。同时，能源消费增长与碳中和目标形成的张力凸显，预示着绿色转型仍面临系统性挑战。不同区域间的消费增速差异，进一步揭示了全球能源格局重构中的地缘经济博弈。这种增长态势也倒逼能源技术创新加速，特别是在储能和能效提升领域出现突破性进展。各行业能源消费总量总体呈增长趋势。</w:t>
      </w:r>
    </w:p>
    <w:p w14:paraId="51B4E266" w14:textId="77777777" w:rsidR="00B657EE" w:rsidRDefault="00B657EE">
      <w:pPr>
        <w:jc w:val="center"/>
        <w:rPr>
          <w:rFonts w:asciiTheme="majorEastAsia" w:eastAsiaTheme="majorEastAsia" w:hAnsiTheme="majorEastAsia"/>
        </w:rPr>
      </w:pPr>
    </w:p>
    <w:p w14:paraId="7366B6EF" w14:textId="77777777" w:rsidR="00B657EE" w:rsidRDefault="00B657EE">
      <w:pPr>
        <w:jc w:val="center"/>
        <w:rPr>
          <w:rFonts w:asciiTheme="majorEastAsia" w:eastAsiaTheme="majorEastAsia" w:hAnsiTheme="majorEastAsia"/>
        </w:rPr>
      </w:pPr>
    </w:p>
    <w:p w14:paraId="757C4995" w14:textId="77777777" w:rsidR="00B657EE" w:rsidRDefault="00B657EE">
      <w:pPr>
        <w:jc w:val="center"/>
        <w:rPr>
          <w:rFonts w:asciiTheme="majorEastAsia" w:eastAsiaTheme="majorEastAsia" w:hAnsiTheme="majorEastAsia"/>
        </w:rPr>
      </w:pPr>
    </w:p>
    <w:p w14:paraId="68285324" w14:textId="3796D94D" w:rsidR="00B657EE" w:rsidRPr="00860AAD" w:rsidRDefault="00B657EE" w:rsidP="00860AAD">
      <w:pPr>
        <w:spacing w:line="560" w:lineRule="exact"/>
        <w:ind w:firstLineChars="200" w:firstLine="480"/>
        <w:rPr>
          <w:rFonts w:asciiTheme="majorEastAsia" w:eastAsiaTheme="majorEastAsia" w:hAnsiTheme="majorEastAsia" w:cs="方正仿宋_GBK"/>
          <w:sz w:val="24"/>
        </w:rPr>
      </w:pPr>
      <w:r>
        <w:rPr>
          <w:rFonts w:asciiTheme="majorEastAsia" w:eastAsiaTheme="majorEastAsia" w:hAnsiTheme="majorEastAsia" w:cs="方正仿宋_GBK"/>
          <w:kern w:val="0"/>
          <w:sz w:val="24"/>
          <w:lang w:bidi="ar"/>
        </w:rPr>
        <w:t>&lt;placeholder_</w:t>
      </w:r>
      <w:r>
        <w:rPr>
          <w:rFonts w:asciiTheme="majorEastAsia" w:eastAsiaTheme="majorEastAsia" w:hAnsiTheme="majorEastAsia" w:cs="方正仿宋_GBK" w:hint="eastAsia"/>
          <w:kern w:val="0"/>
          <w:sz w:val="24"/>
          <w:lang w:bidi="ar"/>
        </w:rPr>
        <w:t>im</w:t>
      </w:r>
      <w:r>
        <w:rPr>
          <w:rFonts w:asciiTheme="majorEastAsia" w:eastAsiaTheme="majorEastAsia" w:hAnsiTheme="majorEastAsia" w:cs="方正仿宋_GBK"/>
          <w:kern w:val="0"/>
          <w:sz w:val="24"/>
          <w:lang w:bidi="ar"/>
        </w:rPr>
        <w:t>g4&gt;</w:t>
      </w:r>
    </w:p>
    <w:p w14:paraId="36A21905" w14:textId="012AF5E7" w:rsidR="00C31780" w:rsidRPr="00362E20" w:rsidRDefault="00000000">
      <w:pPr>
        <w:jc w:val="center"/>
        <w:rPr>
          <w:rFonts w:asciiTheme="majorEastAsia" w:eastAsiaTheme="majorEastAsia" w:hAnsiTheme="majorEastAsia"/>
        </w:rPr>
      </w:pPr>
      <w:r w:rsidRPr="00362E20">
        <w:rPr>
          <w:rFonts w:asciiTheme="majorEastAsia" w:eastAsiaTheme="majorEastAsia" w:hAnsiTheme="majorEastAsia" w:hint="eastAsia"/>
          <w:noProof/>
        </w:rPr>
        <w:lastRenderedPageBreak/>
        <w:drawing>
          <wp:inline distT="0" distB="0" distL="114300" distR="114300" wp14:anchorId="25E8D37F" wp14:editId="7006763E">
            <wp:extent cx="5273040" cy="2332990"/>
            <wp:effectExtent l="0" t="0" r="0" b="13970"/>
            <wp:docPr id="9" name="图片 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4"/>
                    <pic:cNvPicPr>
                      <a:picLocks noChangeAspect="1"/>
                    </pic:cNvPicPr>
                  </pic:nvPicPr>
                  <pic:blipFill>
                    <a:blip r:embed="rId10"/>
                    <a:stretch>
                      <a:fillRect/>
                    </a:stretch>
                  </pic:blipFill>
                  <pic:spPr>
                    <a:xfrm>
                      <a:off x="0" y="0"/>
                      <a:ext cx="5273040" cy="2332990"/>
                    </a:xfrm>
                    <a:prstGeom prst="rect">
                      <a:avLst/>
                    </a:prstGeom>
                  </pic:spPr>
                </pic:pic>
              </a:graphicData>
            </a:graphic>
          </wp:inline>
        </w:drawing>
      </w:r>
    </w:p>
    <w:p w14:paraId="080E8EF3" w14:textId="5A6EB452" w:rsidR="00C31780" w:rsidRPr="00362E20" w:rsidRDefault="00000000" w:rsidP="00362E20">
      <w:pPr>
        <w:pStyle w:val="a3"/>
        <w:spacing w:after="0" w:line="560" w:lineRule="exact"/>
        <w:ind w:firstLineChars="200" w:firstLine="420"/>
        <w:jc w:val="center"/>
        <w:rPr>
          <w:rFonts w:asciiTheme="majorEastAsia" w:eastAsiaTheme="majorEastAsia" w:hAnsiTheme="majorEastAsia" w:cs="方正楷体_GBK"/>
          <w:kern w:val="0"/>
          <w:szCs w:val="21"/>
          <w:lang w:bidi="ar"/>
        </w:rPr>
      </w:pPr>
      <w:r>
        <w:t>图4 各行业2020-2022年能源消费总量和同比变化</w:t>
      </w:r>
    </w:p>
    <w:p w14:paraId="318EB5B4" w14:textId="77777777" w:rsidR="00C31780" w:rsidRPr="00362E20" w:rsidRDefault="00C31780">
      <w:pPr>
        <w:rPr>
          <w:rFonts w:asciiTheme="majorEastAsia" w:eastAsiaTheme="majorEastAsia" w:hAnsiTheme="majorEastAsia" w:cs="黑体"/>
          <w:kern w:val="0"/>
          <w:sz w:val="32"/>
          <w:szCs w:val="32"/>
          <w:lang w:bidi="ar"/>
        </w:rPr>
      </w:pPr>
    </w:p>
    <w:sectPr w:rsidR="00C31780" w:rsidRPr="00362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002DB" w14:textId="77777777" w:rsidR="00801775" w:rsidRDefault="00801775">
      <w:r>
        <w:separator/>
      </w:r>
    </w:p>
  </w:endnote>
  <w:endnote w:type="continuationSeparator" w:id="0">
    <w:p w14:paraId="77D278AC" w14:textId="77777777" w:rsidR="00801775" w:rsidRDefault="00801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embedRegular r:id="rId1" w:subsetted="1" w:fontKey="{D788E9A9-2916-4C4C-BDDF-F2A7EAC020B6}"/>
    <w:embedBold r:id="rId2" w:subsetted="1" w:fontKey="{68768E78-703F-ED49-A17F-00E3262C7152}"/>
    <w:embedItalic r:id="rId3" w:subsetted="1" w:fontKey="{208F77B9-7746-D746-BB6F-E0939BC0AD90}"/>
  </w:font>
  <w:font w:name="方正小标宋_GBK">
    <w:altName w:val="微软雅黑"/>
    <w:panose1 w:val="020B0604020202020204"/>
    <w:charset w:val="86"/>
    <w:family w:val="auto"/>
    <w:pitch w:val="default"/>
    <w:sig w:usb0="A00002BF" w:usb1="38CF7CFA" w:usb2="00082016" w:usb3="00000000" w:csb0="00040001" w:csb1="00000000"/>
  </w:font>
  <w:font w:name="方正楷体_GBK">
    <w:altName w:val="微软雅黑"/>
    <w:panose1 w:val="020B0604020202020204"/>
    <w:charset w:val="86"/>
    <w:family w:val="script"/>
    <w:pitch w:val="default"/>
    <w:sig w:usb0="00000001" w:usb1="080E0000" w:usb2="00000000" w:usb3="00000000" w:csb0="00040000" w:csb1="00000000"/>
  </w:font>
  <w:font w:name="方正仿宋_GBK">
    <w:altName w:val="微软雅黑"/>
    <w:panose1 w:val="020B0604020202020204"/>
    <w:charset w:val="86"/>
    <w:family w:val="auto"/>
    <w:pitch w:val="default"/>
    <w:sig w:usb0="A00002BF"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67BA4" w14:textId="77777777" w:rsidR="00801775" w:rsidRDefault="00801775">
      <w:r>
        <w:separator/>
      </w:r>
    </w:p>
  </w:footnote>
  <w:footnote w:type="continuationSeparator" w:id="0">
    <w:p w14:paraId="46A1046B" w14:textId="77777777" w:rsidR="00801775" w:rsidRDefault="00801775">
      <w:r>
        <w:continuationSeparator/>
      </w:r>
    </w:p>
  </w:footnote>
  <w:footnote w:id="1">
    <w:p w14:paraId="3CD80259" w14:textId="77777777" w:rsidR="00C31780" w:rsidRDefault="00C31780">
      <w:pPr>
        <w:pStyle w:val="a6"/>
        <w:spacing w:line="240" w:lineRule="exact"/>
        <w:rPr>
          <w:rFonts w:ascii="宋体" w:eastAsia="宋体" w:hAnsi="宋体" w:cs="宋体"/>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14AF6"/>
    <w:multiLevelType w:val="hybridMultilevel"/>
    <w:tmpl w:val="DE0AE01A"/>
    <w:lvl w:ilvl="0" w:tplc="B27CE44C">
      <w:start w:val="1"/>
      <w:numFmt w:val="japaneseCounting"/>
      <w:lvlText w:val="%1、"/>
      <w:lvlJc w:val="left"/>
      <w:pPr>
        <w:ind w:left="1360" w:hanging="7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121866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TrueTypeFonts/>
  <w:saveSubset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780"/>
    <w:rsid w:val="00024594"/>
    <w:rsid w:val="00036613"/>
    <w:rsid w:val="00073155"/>
    <w:rsid w:val="00110BFC"/>
    <w:rsid w:val="001F1243"/>
    <w:rsid w:val="003324A5"/>
    <w:rsid w:val="00362E20"/>
    <w:rsid w:val="003641D9"/>
    <w:rsid w:val="003A2B19"/>
    <w:rsid w:val="00436C42"/>
    <w:rsid w:val="0055043C"/>
    <w:rsid w:val="00693F89"/>
    <w:rsid w:val="00694C52"/>
    <w:rsid w:val="00801775"/>
    <w:rsid w:val="00847DA5"/>
    <w:rsid w:val="00860AAD"/>
    <w:rsid w:val="009257DD"/>
    <w:rsid w:val="00A55B5C"/>
    <w:rsid w:val="00B657EE"/>
    <w:rsid w:val="00BE2823"/>
    <w:rsid w:val="00C31780"/>
    <w:rsid w:val="00C76BEA"/>
    <w:rsid w:val="00D805CA"/>
    <w:rsid w:val="00DB6EB4"/>
    <w:rsid w:val="00DD5FFF"/>
    <w:rsid w:val="00ED62B4"/>
    <w:rsid w:val="055E32F7"/>
    <w:rsid w:val="066A0C59"/>
    <w:rsid w:val="06E25862"/>
    <w:rsid w:val="09AA6B0A"/>
    <w:rsid w:val="0B996E37"/>
    <w:rsid w:val="12DC3AAD"/>
    <w:rsid w:val="162E2871"/>
    <w:rsid w:val="175468FF"/>
    <w:rsid w:val="19C808E7"/>
    <w:rsid w:val="1EB53B30"/>
    <w:rsid w:val="2A181417"/>
    <w:rsid w:val="2D5409B8"/>
    <w:rsid w:val="31CE41BF"/>
    <w:rsid w:val="32586854"/>
    <w:rsid w:val="35B5220F"/>
    <w:rsid w:val="372F1A66"/>
    <w:rsid w:val="37CE1367"/>
    <w:rsid w:val="3C7E15AD"/>
    <w:rsid w:val="3E2C6DE7"/>
    <w:rsid w:val="3EF23B8C"/>
    <w:rsid w:val="41CF4659"/>
    <w:rsid w:val="451D0901"/>
    <w:rsid w:val="45352A25"/>
    <w:rsid w:val="468477C0"/>
    <w:rsid w:val="47906638"/>
    <w:rsid w:val="49465201"/>
    <w:rsid w:val="4CE216E4"/>
    <w:rsid w:val="51960CEF"/>
    <w:rsid w:val="5AD70D63"/>
    <w:rsid w:val="5D335644"/>
    <w:rsid w:val="5E4044BD"/>
    <w:rsid w:val="5E413D91"/>
    <w:rsid w:val="5F7A39FE"/>
    <w:rsid w:val="64D63485"/>
    <w:rsid w:val="665B6338"/>
    <w:rsid w:val="676E37CE"/>
    <w:rsid w:val="684626D0"/>
    <w:rsid w:val="693764BC"/>
    <w:rsid w:val="6EAB14DE"/>
    <w:rsid w:val="720F6228"/>
    <w:rsid w:val="7269628C"/>
    <w:rsid w:val="7F89761A"/>
    <w:rsid w:val="7FD5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1C5BF7"/>
  <w15:docId w15:val="{F6647DEF-EAD2-5C49-B837-5C301917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
    <w:qFormat/>
    <w:pPr>
      <w:spacing w:after="120"/>
    </w:pPr>
    <w:rPr>
      <w:szCs w:val="22"/>
    </w:rPr>
  </w:style>
  <w:style w:type="paragraph" w:styleId="a4">
    <w:name w:val="footer"/>
    <w:basedOn w:val="a"/>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qFormat/>
    <w:pPr>
      <w:snapToGrid w:val="0"/>
      <w:jc w:val="left"/>
    </w:pPr>
    <w:rPr>
      <w:sz w:val="18"/>
    </w:rPr>
  </w:style>
  <w:style w:type="character" w:styleId="a7">
    <w:name w:val="footnote reference"/>
    <w:basedOn w:val="a0"/>
    <w:qFormat/>
    <w:rPr>
      <w:vertAlign w:val="superscript"/>
    </w:rPr>
  </w:style>
  <w:style w:type="paragraph" w:styleId="a8">
    <w:name w:val="List Paragraph"/>
    <w:basedOn w:val="a"/>
    <w:uiPriority w:val="99"/>
    <w:unhideWhenUsed/>
    <w:rsid w:val="00362E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lzf</dc:creator>
  <cp:lastModifiedBy>t71352</cp:lastModifiedBy>
  <cp:revision>12</cp:revision>
  <dcterms:created xsi:type="dcterms:W3CDTF">2025-04-17T13:45:00Z</dcterms:created>
  <dcterms:modified xsi:type="dcterms:W3CDTF">2025-04-17T17:04:00Z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eyJoZGlkIjoiMDJkYWRiMTM5NzA2YmM3ZjY1ZjkxYTU2NTk2NjcxNGIiLCJ1c2VySWQiOiIyODM0ODAzNCJ9</vt:lpwstr>
  </property>
  <property fmtid="{D5CDD505-2E9C-101B-9397-08002B2CF9AE}" pid="4" name="ICV">
    <vt:lpwstr>8543B8ECA865438F841E13AF67345DB2_12</vt:lpwstr>
  </property>
</Properties>
</file>