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4D2B" w14:textId="77777777" w:rsidR="00C31780" w:rsidRPr="00362E20" w:rsidRDefault="00000000">
      <w:pPr>
        <w:snapToGrid w:val="0"/>
        <w:spacing w:line="580" w:lineRule="exact"/>
        <w:jc w:val="center"/>
        <w:rPr>
          <w:rFonts w:asciiTheme="majorEastAsia" w:eastAsiaTheme="majorEastAsia" w:hAnsiTheme="majorEastAsia" w:cs="方正小标宋_GBK"/>
          <w:kern w:val="0"/>
          <w:sz w:val="44"/>
          <w:szCs w:val="44"/>
          <w:lang w:bidi="ar"/>
        </w:rPr>
      </w:pPr>
      <w:r w:rsidRPr="00362E20">
        <w:rPr>
          <w:rFonts w:asciiTheme="majorEastAsia" w:eastAsiaTheme="majorEastAsia" w:hAnsiTheme="majorEastAsia" w:cs="方正小标宋_GBK" w:hint="eastAsia"/>
          <w:kern w:val="0"/>
          <w:sz w:val="44"/>
          <w:szCs w:val="44"/>
          <w:lang w:bidi="ar"/>
        </w:rPr>
        <w:t>能耗监测分析报告——年报</w:t>
      </w:r>
    </w:p>
    <w:p w14:paraId="5C6F4C2D" w14:textId="0327B55B" w:rsidR="00C31780" w:rsidRPr="00362E20" w:rsidRDefault="00000000">
      <w:pPr>
        <w:snapToGrid w:val="0"/>
        <w:spacing w:line="580" w:lineRule="exact"/>
        <w:jc w:val="center"/>
        <w:rPr>
          <w:rFonts w:asciiTheme="majorEastAsia" w:eastAsiaTheme="majorEastAsia" w:hAnsiTheme="majorEastAsia" w:cs="方正小标宋_GBK"/>
          <w:kern w:val="0"/>
          <w:sz w:val="44"/>
          <w:szCs w:val="44"/>
          <w:lang w:bidi="ar"/>
        </w:rPr>
      </w:pPr>
      <w:r w:rsidRPr="00362E20">
        <w:rPr>
          <w:rFonts w:asciiTheme="majorEastAsia" w:eastAsiaTheme="majorEastAsia" w:hAnsiTheme="majorEastAsia" w:cs="方正小标宋_GBK" w:hint="eastAsia"/>
          <w:kern w:val="0"/>
          <w:sz w:val="44"/>
          <w:szCs w:val="44"/>
          <w:lang w:bidi="ar"/>
        </w:rPr>
        <w:t>（</w:t>
      </w:r>
      <w:r w:rsidR="003A2B19">
        <w:rPr>
          <w:rFonts w:asciiTheme="majorEastAsia" w:eastAsiaTheme="majorEastAsia" w:hAnsiTheme="majorEastAsia" w:cs="方正小标宋_GBK"/>
          <w:kern w:val="0"/>
          <w:sz w:val="44"/>
          <w:szCs w:val="44"/>
          <w:lang w:bidi="ar"/>
        </w:rPr>
        <w:t>&lt;</w:t>
      </w:r>
      <w:proofErr w:type="spellStart"/>
      <w:r w:rsidR="003A2B19">
        <w:rPr>
          <w:rFonts w:asciiTheme="majorEastAsia" w:eastAsiaTheme="majorEastAsia" w:hAnsiTheme="majorEastAsia" w:cs="方正小标宋_GBK"/>
          <w:kern w:val="0"/>
          <w:sz w:val="44"/>
          <w:szCs w:val="44"/>
          <w:lang w:bidi="ar"/>
        </w:rPr>
        <w:t>placeholder_year</w:t>
      </w:r>
      <w:proofErr w:type="spellEnd"/>
      <w:r w:rsidR="003A2B19">
        <w:rPr>
          <w:rFonts w:asciiTheme="majorEastAsia" w:eastAsiaTheme="majorEastAsia" w:hAnsiTheme="majorEastAsia" w:cs="方正小标宋_GBK"/>
          <w:kern w:val="0"/>
          <w:sz w:val="44"/>
          <w:szCs w:val="44"/>
          <w:lang w:bidi="ar"/>
        </w:rPr>
        <w:t>&gt;</w:t>
      </w:r>
      <w:r w:rsidRPr="00362E20">
        <w:rPr>
          <w:rFonts w:asciiTheme="majorEastAsia" w:eastAsiaTheme="majorEastAsia" w:hAnsiTheme="majorEastAsia" w:cs="方正小标宋_GBK" w:hint="eastAsia"/>
          <w:kern w:val="0"/>
          <w:sz w:val="44"/>
          <w:szCs w:val="44"/>
          <w:lang w:bidi="ar"/>
        </w:rPr>
        <w:t>年）</w:t>
      </w:r>
    </w:p>
    <w:p w14:paraId="34CA4738" w14:textId="77777777" w:rsidR="00C31780" w:rsidRPr="00362E20" w:rsidRDefault="00000000">
      <w:pPr>
        <w:pStyle w:val="a3"/>
        <w:spacing w:after="0" w:line="560" w:lineRule="exact"/>
        <w:outlineLvl w:val="0"/>
        <w:rPr>
          <w:rFonts w:asciiTheme="majorEastAsia" w:eastAsiaTheme="majorEastAsia" w:hAnsiTheme="majorEastAsia" w:cs="方正楷体_GBK"/>
          <w:b/>
          <w:bCs/>
          <w:kern w:val="0"/>
          <w:sz w:val="32"/>
          <w:szCs w:val="32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b/>
          <w:bCs/>
          <w:kern w:val="0"/>
          <w:sz w:val="32"/>
          <w:szCs w:val="32"/>
          <w:lang w:bidi="ar"/>
        </w:rPr>
        <w:t>本期报告摘要</w:t>
      </w:r>
      <w:r w:rsidRPr="00362E20">
        <w:rPr>
          <w:rStyle w:val="a7"/>
          <w:rFonts w:asciiTheme="majorEastAsia" w:eastAsiaTheme="majorEastAsia" w:hAnsiTheme="majorEastAsia" w:cs="方正仿宋_GBK" w:hint="eastAsia"/>
          <w:sz w:val="32"/>
          <w:szCs w:val="32"/>
        </w:rPr>
        <w:footnoteReference w:id="1"/>
      </w:r>
      <w:r w:rsidRPr="00362E20">
        <w:rPr>
          <w:rFonts w:asciiTheme="majorEastAsia" w:eastAsiaTheme="majorEastAsia" w:hAnsiTheme="majorEastAsia" w:cs="方正楷体_GBK" w:hint="eastAsia"/>
          <w:b/>
          <w:bCs/>
          <w:kern w:val="0"/>
          <w:sz w:val="32"/>
          <w:szCs w:val="32"/>
          <w:lang w:bidi="ar"/>
        </w:rPr>
        <w:t>：</w:t>
      </w:r>
    </w:p>
    <w:p w14:paraId="45FDE99C" w14:textId="0FECCC01" w:rsidR="00C31780" w:rsidRPr="003641D9" w:rsidRDefault="00000000" w:rsidP="003641D9">
      <w:pPr>
        <w:spacing w:line="580" w:lineRule="exact"/>
        <w:rPr>
          <w:rFonts w:asciiTheme="majorEastAsia" w:eastAsiaTheme="majorEastAsia" w:hAnsiTheme="majorEastAsia" w:cs="方正仿宋_GBK"/>
          <w:i/>
          <w:iCs/>
          <w:color w:val="0000FF"/>
          <w:sz w:val="24"/>
        </w:rPr>
      </w:pP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sz w:val="24"/>
        </w:rPr>
        <w:t>（说明：摘要的部分内容可根据每期数据不同动态处理。）</w:t>
      </w:r>
    </w:p>
    <w:p w14:paraId="4024E8AA" w14:textId="4007231C" w:rsidR="00BE2823" w:rsidRPr="00362E20" w:rsidRDefault="00BE2823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sz w:val="24"/>
        </w:rPr>
        <w:t>&lt;</w:t>
      </w:r>
      <w:proofErr w:type="spellStart"/>
      <w:r>
        <w:rPr>
          <w:rFonts w:asciiTheme="majorEastAsia" w:eastAsiaTheme="majorEastAsia" w:hAnsiTheme="majorEastAsia" w:cs="方正仿宋_GBK"/>
          <w:sz w:val="24"/>
        </w:rPr>
        <w:t>placeholder_abstract</w:t>
      </w:r>
      <w:proofErr w:type="spellEnd"/>
      <w:r>
        <w:rPr>
          <w:rFonts w:asciiTheme="majorEastAsia" w:eastAsiaTheme="majorEastAsia" w:hAnsiTheme="majorEastAsia" w:cs="方正仿宋_GBK"/>
          <w:sz w:val="24"/>
        </w:rPr>
        <w:t>&gt;</w:t>
      </w:r>
    </w:p>
    <w:p w14:paraId="197FC82B" w14:textId="3FC674C6" w:rsidR="00C31780" w:rsidRPr="00362E20" w:rsidRDefault="00362E20" w:rsidP="00362E20">
      <w:pPr>
        <w:pStyle w:val="a8"/>
        <w:widowControl/>
        <w:numPr>
          <w:ilvl w:val="0"/>
          <w:numId w:val="1"/>
        </w:numPr>
        <w:ind w:firstLineChars="0"/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</w:pPr>
      <w:r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  <w:t>&lt;</w:t>
      </w:r>
      <w:proofErr w:type="spellStart"/>
      <w:r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  <w:t>placeholder_province</w:t>
      </w:r>
      <w:proofErr w:type="spellEnd"/>
      <w:r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  <w:t>&gt;</w:t>
      </w:r>
      <w:r w:rsidRPr="00362E20">
        <w:rPr>
          <w:rFonts w:asciiTheme="majorEastAsia" w:eastAsiaTheme="majorEastAsia" w:hAnsiTheme="majorEastAsia" w:cs="黑体" w:hint="eastAsia"/>
          <w:kern w:val="0"/>
          <w:sz w:val="32"/>
          <w:szCs w:val="32"/>
          <w:lang w:bidi="ar"/>
        </w:rPr>
        <w:t>能源消费情况</w:t>
      </w:r>
    </w:p>
    <w:p w14:paraId="562ED7D0" w14:textId="778C05BF" w:rsidR="00C31780" w:rsidRPr="00362E20" w:rsidRDefault="00000000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i/>
          <w:iCs/>
          <w:color w:val="0000FF"/>
          <w:kern w:val="0"/>
          <w:sz w:val="24"/>
          <w:lang w:bidi="ar"/>
        </w:rPr>
      </w:pP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(说明：本小节主要包括当年</w:t>
      </w:r>
      <w:r w:rsid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省</w:t>
      </w: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消费总量及强度分析、2020年至当年</w:t>
      </w:r>
      <w:r w:rsid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省</w:t>
      </w: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总量趋势分析、十四五强度目标分析3部分，可按实际分析结果、结论进行补充。)</w:t>
      </w:r>
    </w:p>
    <w:p w14:paraId="5E1A1742" w14:textId="5582E3F5" w:rsidR="00C31780" w:rsidRPr="00362E20" w:rsidRDefault="00362E20">
      <w:pPr>
        <w:spacing w:line="580" w:lineRule="exact"/>
        <w:ind w:firstLineChars="200" w:firstLine="489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placeholder_energy_consumption_conclusion</w:t>
      </w:r>
      <w:proofErr w:type="spellEnd"/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&gt;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placeholder_year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年，</w:t>
      </w:r>
      <w:r>
        <w:rPr>
          <w:rFonts w:asciiTheme="majorEastAsia" w:eastAsiaTheme="majorEastAsia" w:hAnsiTheme="majorEastAsia" w:cs="方正仿宋_GBK"/>
          <w:sz w:val="24"/>
        </w:rPr>
        <w:t>&lt;</w:t>
      </w:r>
      <w:proofErr w:type="spellStart"/>
      <w:r>
        <w:rPr>
          <w:rFonts w:asciiTheme="majorEastAsia" w:eastAsiaTheme="majorEastAsia" w:hAnsiTheme="majorEastAsia" w:cs="方正仿宋_GBK"/>
          <w:sz w:val="24"/>
        </w:rPr>
        <w:t>placeholder_province</w:t>
      </w:r>
      <w:proofErr w:type="spellEnd"/>
      <w:r>
        <w:rPr>
          <w:rFonts w:asciiTheme="majorEastAsia" w:eastAsiaTheme="majorEastAsia" w:hAnsiTheme="majorEastAsia" w:cs="方正仿宋_GBK"/>
          <w:sz w:val="24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能源消费总量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&lt;placeholder_val1&gt;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亿吨标准煤</w:t>
      </w:r>
      <w:r w:rsidRPr="00362E20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，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较统计局发布的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placeholder_prev_year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i/>
          <w:iCs/>
          <w:kern w:val="0"/>
          <w:sz w:val="24"/>
          <w:lang w:bidi="ar"/>
        </w:rPr>
        <w:t>（前一年）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年总量</w:t>
      </w:r>
      <w:r>
        <w:rPr>
          <w:rFonts w:asciiTheme="majorEastAsia" w:eastAsiaTheme="majorEastAsia" w:hAnsiTheme="majorEastAsia" w:cs="方正仿宋_GBK"/>
          <w:sz w:val="24"/>
        </w:rPr>
        <w:t>&lt;placeholder_val2&gt;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亿吨标准煤</w:t>
      </w:r>
      <w:r w:rsidRPr="00362E20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同比</w:t>
      </w:r>
      <w:r w:rsidR="00DD5FFF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&lt;placeholder_choices1&gt;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&lt;placeholder_val3&gt;</w:t>
      </w:r>
      <w:r w:rsidRPr="00362E20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%。结合国家统计局国内生产总值数据计算，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placeholder_year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年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placeholder_province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能耗强度同比</w:t>
      </w:r>
      <w:r w:rsidR="0055043C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&lt;placeholder_choices2&gt;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&lt;placeholder_val4&gt;</w:t>
      </w:r>
      <w:r w:rsidR="00036613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%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。</w:t>
      </w:r>
    </w:p>
    <w:p w14:paraId="29FB30DF" w14:textId="113A4167" w:rsidR="00C31780" w:rsidRDefault="00362E20">
      <w:pPr>
        <w:spacing w:line="560" w:lineRule="exact"/>
        <w:ind w:firstLineChars="200" w:firstLine="489"/>
        <w:rPr>
          <w:rFonts w:asciiTheme="majorEastAsia" w:eastAsiaTheme="majorEastAsia" w:hAnsiTheme="majorEastAsia" w:cs="方正仿宋_GBK"/>
          <w:sz w:val="24"/>
        </w:rPr>
      </w:pPr>
      <w:r w:rsidRPr="00362E20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&lt;</w:t>
      </w:r>
      <w:proofErr w:type="spellStart"/>
      <w:r w:rsidRPr="00362E20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placeholder_</w:t>
      </w:r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energy_consumption_trend_conclusion</w:t>
      </w:r>
      <w:proofErr w:type="spellEnd"/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由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val5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亿吨标准煤增长至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&lt;placeholder_val6&gt;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亿吨标准煤，累计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增速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&lt;placeholder_val7&gt;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%，平均增速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&lt;placeholder_val8&gt;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%。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placeholder_year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年总量同比增速</w:t>
      </w:r>
      <w:r w:rsidR="0055043C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&lt;placeholder_choices3&gt;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该值。</w:t>
      </w:r>
    </w:p>
    <w:p w14:paraId="739C8C57" w14:textId="49E4BD82" w:rsidR="00B657EE" w:rsidRPr="00362E20" w:rsidRDefault="00B657EE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im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g1&gt;</w:t>
      </w:r>
    </w:p>
    <w:p w14:paraId="248E9216" w14:textId="77777777" w:rsidR="00C31780" w:rsidRPr="00362E20" w:rsidRDefault="00000000">
      <w:pPr>
        <w:rPr>
          <w:rFonts w:asciiTheme="majorEastAsia" w:eastAsiaTheme="majorEastAsia" w:hAnsiTheme="majorEastAsia" w:cs="方正仿宋_GBK"/>
          <w:kern w:val="0"/>
          <w:sz w:val="32"/>
          <w:szCs w:val="32"/>
          <w:lang w:bidi="ar"/>
        </w:rPr>
      </w:pPr>
      <w:r w:rsidRPr="00362E20">
        <w:rPr>
          <w:rFonts w:asciiTheme="majorEastAsia" w:eastAsiaTheme="majorEastAsia" w:hAnsiTheme="majorEastAsia" w:cs="方正仿宋_GBK" w:hint="eastAsia"/>
          <w:noProof/>
          <w:kern w:val="0"/>
          <w:sz w:val="32"/>
          <w:szCs w:val="32"/>
          <w:lang w:bidi="ar"/>
        </w:rPr>
        <w:lastRenderedPageBreak/>
        <w:drawing>
          <wp:inline distT="0" distB="0" distL="114300" distR="114300" wp14:anchorId="5438ABA4" wp14:editId="1D1D95DC">
            <wp:extent cx="5268595" cy="2479675"/>
            <wp:effectExtent l="0" t="0" r="4445" b="444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1CE1" w14:textId="494CDF64" w:rsidR="00C31780" w:rsidRPr="00362E20" w:rsidRDefault="00000000">
      <w:pPr>
        <w:snapToGrid w:val="0"/>
        <w:jc w:val="center"/>
        <w:rPr>
          <w:rFonts w:asciiTheme="majorEastAsia" w:eastAsiaTheme="majorEastAsia" w:hAnsiTheme="majorEastAsia" w:cs="方正楷体_GBK"/>
          <w:kern w:val="0"/>
          <w:szCs w:val="21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图1</w:t>
      </w:r>
      <w:r w:rsidRPr="00362E20">
        <w:rPr>
          <w:rFonts w:asciiTheme="majorEastAsia" w:eastAsiaTheme="majorEastAsia" w:hAnsiTheme="majorEastAsia" w:cs="方正楷体_GBK"/>
          <w:kern w:val="0"/>
          <w:szCs w:val="21"/>
          <w:lang w:bidi="ar"/>
        </w:rPr>
        <w:t xml:space="preserve"> </w:t>
      </w:r>
      <w:r w:rsidR="00024594" w:rsidRP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&lt;</w:t>
      </w:r>
      <w:proofErr w:type="spellStart"/>
      <w:r w:rsidR="00024594" w:rsidRP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placeholder_</w:t>
      </w:r>
      <w:r w:rsid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province</w:t>
      </w:r>
      <w:proofErr w:type="spellEnd"/>
      <w:r w:rsid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&gt;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能源消费总量和同比变化</w:t>
      </w:r>
    </w:p>
    <w:p w14:paraId="366B90C5" w14:textId="02EBB7BB" w:rsidR="00C31780" w:rsidRDefault="00024594">
      <w:pPr>
        <w:spacing w:line="560" w:lineRule="exact"/>
        <w:ind w:firstLineChars="200" w:firstLine="489"/>
        <w:rPr>
          <w:rFonts w:asciiTheme="majorEastAsia" w:eastAsiaTheme="majorEastAsia" w:hAnsiTheme="majorEastAsia" w:cs="方正仿宋_GBK"/>
          <w:sz w:val="24"/>
        </w:rPr>
      </w:pPr>
      <w:r w:rsidRPr="00024594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&lt;</w:t>
      </w:r>
      <w:proofErr w:type="spellStart"/>
      <w:r w:rsidRPr="00024594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placeholder_</w:t>
      </w:r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energy_intensity_conclusion</w:t>
      </w:r>
      <w:proofErr w:type="spellEnd"/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&gt;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</w:t>
      </w:r>
      <w:proofErr w:type="spellStart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year</w:t>
      </w:r>
      <w:proofErr w:type="spellEnd"/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年较2020年能耗强度累计下降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&lt;placeholder_val9&gt;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%，较《“十四五”节能减排综合工作方案》提出的“到2025年，全国单位国内生产总值能源消耗比2020年下降13.5%”的目标要求，完成约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</w:t>
      </w:r>
      <w:r w:rsidR="0055043C">
        <w:rPr>
          <w:rFonts w:asciiTheme="majorEastAsia" w:eastAsiaTheme="majorEastAsia" w:hAnsiTheme="majorEastAsia" w:cs="方正仿宋_GBK"/>
          <w:kern w:val="0"/>
          <w:sz w:val="24"/>
          <w:lang w:bidi="ar"/>
        </w:rPr>
        <w:t>10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%。为如期完成既定目标，能耗强度下降今后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</w:t>
      </w:r>
      <w:r w:rsidR="0055043C">
        <w:rPr>
          <w:rFonts w:asciiTheme="majorEastAsia" w:eastAsiaTheme="majorEastAsia" w:hAnsiTheme="majorEastAsia" w:cs="方正仿宋_GBK"/>
          <w:kern w:val="0"/>
          <w:sz w:val="24"/>
          <w:lang w:bidi="ar"/>
        </w:rPr>
        <w:t>11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年需保持在年均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</w:t>
      </w:r>
      <w:r w:rsidR="0055043C">
        <w:rPr>
          <w:rFonts w:asciiTheme="majorEastAsia" w:eastAsiaTheme="majorEastAsia" w:hAnsiTheme="majorEastAsia" w:cs="方正仿宋_GBK"/>
          <w:kern w:val="0"/>
          <w:sz w:val="24"/>
          <w:lang w:bidi="ar"/>
        </w:rPr>
        <w:t>2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%。</w:t>
      </w:r>
    </w:p>
    <w:p w14:paraId="2D6FACF0" w14:textId="13883857" w:rsidR="00B657EE" w:rsidRPr="00362E20" w:rsidRDefault="00B657EE" w:rsidP="00B657EE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im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g2&gt;</w:t>
      </w:r>
    </w:p>
    <w:p w14:paraId="579DB5C6" w14:textId="77777777" w:rsidR="00C31780" w:rsidRPr="00362E20" w:rsidRDefault="00000000">
      <w:pPr>
        <w:jc w:val="center"/>
        <w:rPr>
          <w:rFonts w:asciiTheme="majorEastAsia" w:eastAsiaTheme="majorEastAsia" w:hAnsiTheme="majorEastAsia" w:cs="方正楷体_GBK"/>
          <w:kern w:val="0"/>
          <w:sz w:val="28"/>
          <w:szCs w:val="28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noProof/>
          <w:kern w:val="0"/>
          <w:sz w:val="28"/>
          <w:szCs w:val="28"/>
          <w:lang w:bidi="ar"/>
        </w:rPr>
        <w:drawing>
          <wp:inline distT="0" distB="0" distL="114300" distR="114300" wp14:anchorId="130AE640" wp14:editId="242FEA1C">
            <wp:extent cx="5268595" cy="2479675"/>
            <wp:effectExtent l="0" t="0" r="4445" b="4445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F76" w14:textId="34F9B8B7" w:rsidR="00C31780" w:rsidRPr="00362E20" w:rsidRDefault="00000000">
      <w:pPr>
        <w:snapToGrid w:val="0"/>
        <w:jc w:val="center"/>
        <w:rPr>
          <w:rFonts w:asciiTheme="majorEastAsia" w:eastAsiaTheme="majorEastAsia" w:hAnsiTheme="majorEastAsia" w:cs="方正楷体_GBK"/>
          <w:kern w:val="0"/>
          <w:szCs w:val="21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图2</w:t>
      </w:r>
      <w:r w:rsidRPr="00362E20">
        <w:rPr>
          <w:rFonts w:asciiTheme="majorEastAsia" w:eastAsiaTheme="majorEastAsia" w:hAnsiTheme="majorEastAsia" w:cs="方正楷体_GBK"/>
          <w:kern w:val="0"/>
          <w:szCs w:val="21"/>
          <w:lang w:bidi="ar"/>
        </w:rPr>
        <w:t xml:space="preserve"> 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全国2020-</w:t>
      </w:r>
      <w:r w:rsidR="00024594" w:rsidRP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&lt;</w:t>
      </w:r>
      <w:proofErr w:type="spellStart"/>
      <w:r w:rsidR="00024594" w:rsidRP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placeholder_</w:t>
      </w:r>
      <w:r w:rsid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year</w:t>
      </w:r>
      <w:proofErr w:type="spellEnd"/>
      <w:r w:rsidR="00024594">
        <w:rPr>
          <w:rFonts w:asciiTheme="majorEastAsia" w:eastAsiaTheme="majorEastAsia" w:hAnsiTheme="majorEastAsia" w:cs="方正楷体_GBK"/>
          <w:kern w:val="0"/>
          <w:szCs w:val="21"/>
          <w:lang w:bidi="ar"/>
        </w:rPr>
        <w:t>&gt;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年能耗强度变化</w:t>
      </w:r>
    </w:p>
    <w:p w14:paraId="485989DE" w14:textId="77777777" w:rsidR="00C31780" w:rsidRPr="00362E20" w:rsidRDefault="00000000">
      <w:pPr>
        <w:pStyle w:val="a3"/>
        <w:spacing w:after="0" w:line="580" w:lineRule="exact"/>
        <w:ind w:firstLineChars="200" w:firstLine="640"/>
        <w:outlineLvl w:val="0"/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</w:pPr>
      <w:r w:rsidRPr="00362E20">
        <w:rPr>
          <w:rFonts w:asciiTheme="majorEastAsia" w:eastAsiaTheme="majorEastAsia" w:hAnsiTheme="majorEastAsia" w:cs="黑体" w:hint="eastAsia"/>
          <w:kern w:val="0"/>
          <w:sz w:val="32"/>
          <w:szCs w:val="32"/>
          <w:lang w:bidi="ar"/>
        </w:rPr>
        <w:t>二、分行业能源消费情况</w:t>
      </w:r>
    </w:p>
    <w:p w14:paraId="2E0ADCF8" w14:textId="77777777" w:rsidR="00C31780" w:rsidRPr="00362E20" w:rsidRDefault="00000000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b/>
          <w:bCs/>
          <w:color w:val="0000FF"/>
          <w:kern w:val="0"/>
          <w:sz w:val="24"/>
          <w:lang w:bidi="ar"/>
        </w:rPr>
      </w:pP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(说明：本小节主要包括当年各行业消费总量分析、2020年至当年各行业总量趋势分析2部分，</w:t>
      </w: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sz w:val="24"/>
        </w:rPr>
        <w:t>各省可按具体情况增加其它细分行业的分析。</w:t>
      </w:r>
      <w:r w:rsidRPr="00362E20">
        <w:rPr>
          <w:rFonts w:asciiTheme="majorEastAsia" w:eastAsiaTheme="majorEastAsia" w:hAnsiTheme="majorEastAsia" w:cs="方正仿宋_GBK" w:hint="eastAsia"/>
          <w:i/>
          <w:iCs/>
          <w:color w:val="0000FF"/>
          <w:kern w:val="0"/>
          <w:sz w:val="24"/>
          <w:lang w:bidi="ar"/>
        </w:rPr>
        <w:t>)</w:t>
      </w:r>
    </w:p>
    <w:p w14:paraId="71CBEF55" w14:textId="27F433F6" w:rsidR="00C31780" w:rsidRPr="00362E20" w:rsidRDefault="00024594">
      <w:pPr>
        <w:numPr>
          <w:ilvl w:val="255"/>
          <w:numId w:val="0"/>
        </w:numPr>
        <w:spacing w:line="560" w:lineRule="exact"/>
        <w:ind w:firstLineChars="200" w:firstLine="489"/>
        <w:rPr>
          <w:rFonts w:asciiTheme="majorEastAsia" w:eastAsiaTheme="majorEastAsia" w:hAnsiTheme="majorEastAsia" w:cs="方正仿宋_GBK"/>
          <w:sz w:val="24"/>
        </w:rPr>
      </w:pPr>
      <w:r w:rsidRPr="00024594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lastRenderedPageBreak/>
        <w:t>&lt;</w:t>
      </w:r>
      <w:proofErr w:type="spellStart"/>
      <w:r w:rsidRPr="00024594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placeholder_</w:t>
      </w:r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industry_energy_consumption_conclusion</w:t>
      </w:r>
      <w:proofErr w:type="spellEnd"/>
      <w:r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能源消费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总量排名前二的为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&lt;placeholder_industry1&gt;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行业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、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&lt;placeholder_industry2&gt;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行业</w:t>
      </w:r>
      <w:r w:rsidRPr="00362E20">
        <w:rPr>
          <w:rFonts w:asciiTheme="majorEastAsia" w:eastAsiaTheme="majorEastAsia" w:hAnsiTheme="majorEastAsia" w:cs="方正仿宋_GBK" w:hint="eastAsia"/>
          <w:spacing w:val="-6"/>
          <w:kern w:val="0"/>
          <w:sz w:val="24"/>
          <w:lang w:bidi="ar"/>
        </w:rPr>
        <w:t>。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能源消费总量同比增速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排名前二的为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&lt;placeholder_industry3&gt;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行业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&lt;placeholder_val15&gt;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%、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 w:rsidR="003324A5"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industry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4&gt;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行业</w:t>
      </w:r>
      <w:r w:rsidR="003324A5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&lt;placeholder_val16&gt;</w:t>
      </w:r>
      <w:r w:rsidRPr="00362E20">
        <w:rPr>
          <w:rFonts w:asciiTheme="majorEastAsia" w:eastAsiaTheme="majorEastAsia" w:hAnsiTheme="majorEastAsia" w:cs="方正仿宋_GBK" w:hint="eastAsia"/>
          <w:spacing w:val="-6"/>
          <w:sz w:val="24"/>
        </w:rPr>
        <w:t>%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。</w:t>
      </w:r>
    </w:p>
    <w:p w14:paraId="7B351366" w14:textId="77777777" w:rsidR="00C31780" w:rsidRDefault="00C31780">
      <w:pPr>
        <w:numPr>
          <w:ilvl w:val="255"/>
          <w:numId w:val="0"/>
        </w:num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</w:p>
    <w:p w14:paraId="55016257" w14:textId="19B3D55F" w:rsidR="00B657EE" w:rsidRPr="00362E20" w:rsidRDefault="00B657EE" w:rsidP="00B657EE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im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g3&gt;</w:t>
      </w:r>
    </w:p>
    <w:p w14:paraId="3E3621A5" w14:textId="77777777" w:rsidR="00C31780" w:rsidRPr="00362E20" w:rsidRDefault="00000000">
      <w:pPr>
        <w:numPr>
          <w:ilvl w:val="255"/>
          <w:numId w:val="0"/>
        </w:numPr>
        <w:rPr>
          <w:rFonts w:asciiTheme="majorEastAsia" w:eastAsiaTheme="majorEastAsia" w:hAnsiTheme="majorEastAsia" w:cs="方正仿宋_GBK"/>
          <w:spacing w:val="-6"/>
          <w:kern w:val="0"/>
          <w:sz w:val="32"/>
          <w:szCs w:val="32"/>
          <w:lang w:bidi="ar"/>
        </w:rPr>
      </w:pPr>
      <w:r w:rsidRPr="00362E20">
        <w:rPr>
          <w:rFonts w:asciiTheme="majorEastAsia" w:eastAsiaTheme="majorEastAsia" w:hAnsiTheme="majorEastAsia" w:cs="方正仿宋_GBK" w:hint="eastAsia"/>
          <w:noProof/>
          <w:spacing w:val="-6"/>
          <w:kern w:val="0"/>
          <w:sz w:val="32"/>
          <w:szCs w:val="32"/>
          <w:lang w:bidi="ar"/>
        </w:rPr>
        <w:drawing>
          <wp:inline distT="0" distB="0" distL="114300" distR="114300" wp14:anchorId="5D350B3D" wp14:editId="56FCFF8C">
            <wp:extent cx="5268595" cy="2479675"/>
            <wp:effectExtent l="0" t="0" r="4445" b="4445"/>
            <wp:docPr id="7" name="图片 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EDE" w14:textId="25765AB1" w:rsidR="00C31780" w:rsidRPr="00362E20" w:rsidRDefault="00000000">
      <w:pPr>
        <w:snapToGrid w:val="0"/>
        <w:jc w:val="center"/>
        <w:rPr>
          <w:rFonts w:asciiTheme="majorEastAsia" w:eastAsiaTheme="majorEastAsia" w:hAnsiTheme="majorEastAsia" w:cs="方正楷体_GBK"/>
          <w:kern w:val="0"/>
          <w:szCs w:val="21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图3</w:t>
      </w:r>
      <w:r w:rsidRPr="00362E20">
        <w:rPr>
          <w:rFonts w:asciiTheme="majorEastAsia" w:eastAsiaTheme="majorEastAsia" w:hAnsiTheme="majorEastAsia" w:cs="方正楷体_GBK"/>
          <w:kern w:val="0"/>
          <w:szCs w:val="21"/>
          <w:lang w:bidi="ar"/>
        </w:rPr>
        <w:t xml:space="preserve"> 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各行业</w:t>
      </w:r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&lt;</w:t>
      </w:r>
      <w:proofErr w:type="spellStart"/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placeholder_year</w:t>
      </w:r>
      <w:proofErr w:type="spellEnd"/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&gt;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年能源消费总量和占比</w:t>
      </w:r>
    </w:p>
    <w:p w14:paraId="7B9C8203" w14:textId="77777777" w:rsidR="00C31780" w:rsidRPr="00362E20" w:rsidRDefault="00000000">
      <w:pPr>
        <w:snapToGrid w:val="0"/>
        <w:jc w:val="center"/>
        <w:rPr>
          <w:rFonts w:asciiTheme="majorEastAsia" w:eastAsiaTheme="majorEastAsia" w:hAnsiTheme="majorEastAsia" w:cs="方正楷体_GBK"/>
          <w:i/>
          <w:iCs/>
          <w:color w:val="0000FF"/>
          <w:kern w:val="0"/>
          <w:szCs w:val="21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i/>
          <w:iCs/>
          <w:color w:val="0000FF"/>
          <w:kern w:val="0"/>
          <w:szCs w:val="21"/>
          <w:lang w:bidi="ar"/>
        </w:rPr>
        <w:t>（说明：图中可对总量、占比进行标识）</w:t>
      </w:r>
    </w:p>
    <w:p w14:paraId="1E156A77" w14:textId="3B6A3306" w:rsidR="00C31780" w:rsidRPr="00362E20" w:rsidRDefault="003324A5">
      <w:pPr>
        <w:numPr>
          <w:ilvl w:val="255"/>
          <w:numId w:val="0"/>
        </w:numPr>
        <w:spacing w:line="580" w:lineRule="exact"/>
        <w:ind w:firstLineChars="200" w:firstLine="489"/>
        <w:rPr>
          <w:rFonts w:asciiTheme="majorEastAsia" w:eastAsiaTheme="majorEastAsia" w:hAnsiTheme="majorEastAsia"/>
          <w:sz w:val="24"/>
        </w:rPr>
      </w:pPr>
      <w:r w:rsidRPr="003324A5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&lt;</w:t>
      </w:r>
      <w:proofErr w:type="spellStart"/>
      <w:r w:rsidRPr="003324A5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placeholder_</w:t>
      </w:r>
      <w:r w:rsidR="00693F89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industry_energy_consumption_trend_conclusion</w:t>
      </w:r>
      <w:proofErr w:type="spellEnd"/>
      <w:r w:rsidR="00693F89">
        <w:rPr>
          <w:rFonts w:asciiTheme="majorEastAsia" w:eastAsiaTheme="majorEastAsia" w:hAnsiTheme="majorEastAsia" w:cs="方正仿宋_GBK"/>
          <w:b/>
          <w:bCs/>
          <w:kern w:val="0"/>
          <w:sz w:val="24"/>
          <w:lang w:bidi="ar"/>
        </w:rPr>
        <w:t>&gt;</w:t>
      </w:r>
      <w:r w:rsidRPr="00362E20">
        <w:rPr>
          <w:rFonts w:asciiTheme="majorEastAsia" w:eastAsiaTheme="majorEastAsia" w:hAnsiTheme="majorEastAsia" w:cs="方正仿宋_GBK" w:hint="eastAsia"/>
          <w:sz w:val="24"/>
          <w:lang w:bidi="ar"/>
        </w:rPr>
        <w:t>各行业能源消费总量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总体呈</w:t>
      </w:r>
      <w:r w:rsidR="00693F89"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&lt;placeholder_choices4&gt;</w:t>
      </w:r>
      <w:r w:rsidRPr="00362E20">
        <w:rPr>
          <w:rFonts w:asciiTheme="majorEastAsia" w:eastAsiaTheme="majorEastAsia" w:hAnsiTheme="majorEastAsia" w:cs="方正仿宋_GBK" w:hint="eastAsia"/>
          <w:sz w:val="24"/>
        </w:rPr>
        <w:t>趋势</w:t>
      </w:r>
      <w:r w:rsidR="00694C52">
        <w:rPr>
          <w:rFonts w:asciiTheme="majorEastAsia" w:eastAsiaTheme="majorEastAsia" w:hAnsiTheme="majorEastAsia" w:cs="方正仿宋_GBK" w:hint="eastAsia"/>
          <w:sz w:val="24"/>
          <w:lang w:bidi="ar"/>
        </w:rPr>
        <w:t>。</w:t>
      </w:r>
    </w:p>
    <w:p w14:paraId="51B4E266" w14:textId="77777777" w:rsidR="00B657EE" w:rsidRDefault="00B657EE">
      <w:pPr>
        <w:jc w:val="center"/>
        <w:rPr>
          <w:rFonts w:asciiTheme="majorEastAsia" w:eastAsiaTheme="majorEastAsia" w:hAnsiTheme="majorEastAsia"/>
        </w:rPr>
      </w:pPr>
    </w:p>
    <w:p w14:paraId="7366B6EF" w14:textId="77777777" w:rsidR="00B657EE" w:rsidRDefault="00B657EE">
      <w:pPr>
        <w:jc w:val="center"/>
        <w:rPr>
          <w:rFonts w:asciiTheme="majorEastAsia" w:eastAsiaTheme="majorEastAsia" w:hAnsiTheme="majorEastAsia"/>
        </w:rPr>
      </w:pPr>
    </w:p>
    <w:p w14:paraId="757C4995" w14:textId="77777777" w:rsidR="00B657EE" w:rsidRDefault="00B657EE">
      <w:pPr>
        <w:jc w:val="center"/>
        <w:rPr>
          <w:rFonts w:asciiTheme="majorEastAsia" w:eastAsiaTheme="majorEastAsia" w:hAnsiTheme="majorEastAsia"/>
        </w:rPr>
      </w:pPr>
    </w:p>
    <w:p w14:paraId="68285324" w14:textId="3796D94D" w:rsidR="00B657EE" w:rsidRPr="00860AAD" w:rsidRDefault="00B657EE" w:rsidP="00860AAD">
      <w:pPr>
        <w:spacing w:line="560" w:lineRule="exact"/>
        <w:ind w:firstLineChars="200" w:firstLine="480"/>
        <w:rPr>
          <w:rFonts w:asciiTheme="majorEastAsia" w:eastAsiaTheme="majorEastAsia" w:hAnsiTheme="majorEastAsia" w:cs="方正仿宋_GBK"/>
          <w:sz w:val="24"/>
        </w:rPr>
      </w:pP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&lt;placeholder_</w:t>
      </w:r>
      <w:r>
        <w:rPr>
          <w:rFonts w:asciiTheme="majorEastAsia" w:eastAsiaTheme="majorEastAsia" w:hAnsiTheme="majorEastAsia" w:cs="方正仿宋_GBK" w:hint="eastAsia"/>
          <w:kern w:val="0"/>
          <w:sz w:val="24"/>
          <w:lang w:bidi="ar"/>
        </w:rPr>
        <w:t>im</w:t>
      </w:r>
      <w:r>
        <w:rPr>
          <w:rFonts w:asciiTheme="majorEastAsia" w:eastAsiaTheme="majorEastAsia" w:hAnsiTheme="majorEastAsia" w:cs="方正仿宋_GBK"/>
          <w:kern w:val="0"/>
          <w:sz w:val="24"/>
          <w:lang w:bidi="ar"/>
        </w:rPr>
        <w:t>g4&gt;</w:t>
      </w:r>
    </w:p>
    <w:p w14:paraId="36A21905" w14:textId="012AF5E7" w:rsidR="00C31780" w:rsidRPr="00362E20" w:rsidRDefault="00000000">
      <w:pPr>
        <w:jc w:val="center"/>
        <w:rPr>
          <w:rFonts w:asciiTheme="majorEastAsia" w:eastAsiaTheme="majorEastAsia" w:hAnsiTheme="majorEastAsia"/>
        </w:rPr>
      </w:pPr>
      <w:r w:rsidRPr="00362E20">
        <w:rPr>
          <w:rFonts w:asciiTheme="majorEastAsia" w:eastAsiaTheme="majorEastAsia" w:hAnsiTheme="majorEastAsia" w:hint="eastAsia"/>
          <w:noProof/>
        </w:rPr>
        <w:lastRenderedPageBreak/>
        <w:drawing>
          <wp:inline distT="0" distB="0" distL="114300" distR="114300" wp14:anchorId="25E8D37F" wp14:editId="7006763E">
            <wp:extent cx="5273040" cy="2332990"/>
            <wp:effectExtent l="0" t="0" r="0" b="13970"/>
            <wp:docPr id="9" name="图片 9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EF3" w14:textId="5A6EB452" w:rsidR="00C31780" w:rsidRPr="00362E20" w:rsidRDefault="00000000" w:rsidP="00362E20">
      <w:pPr>
        <w:pStyle w:val="a3"/>
        <w:spacing w:after="0" w:line="560" w:lineRule="exact"/>
        <w:ind w:firstLineChars="200" w:firstLine="420"/>
        <w:jc w:val="center"/>
        <w:rPr>
          <w:rFonts w:asciiTheme="majorEastAsia" w:eastAsiaTheme="majorEastAsia" w:hAnsiTheme="majorEastAsia" w:cs="方正楷体_GBK"/>
          <w:kern w:val="0"/>
          <w:szCs w:val="21"/>
          <w:lang w:bidi="ar"/>
        </w:rPr>
      </w:pP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图</w:t>
      </w:r>
      <w:r w:rsid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4</w:t>
      </w:r>
      <w:r w:rsidRPr="00362E20">
        <w:rPr>
          <w:rFonts w:asciiTheme="majorEastAsia" w:eastAsiaTheme="majorEastAsia" w:hAnsiTheme="majorEastAsia" w:cs="方正楷体_GBK"/>
          <w:kern w:val="0"/>
          <w:szCs w:val="21"/>
          <w:lang w:bidi="ar"/>
        </w:rPr>
        <w:t xml:space="preserve"> 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各行业2020-</w:t>
      </w:r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&lt;</w:t>
      </w:r>
      <w:proofErr w:type="spellStart"/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placeholder_year</w:t>
      </w:r>
      <w:proofErr w:type="spellEnd"/>
      <w:r w:rsidR="003A2B19">
        <w:rPr>
          <w:rFonts w:asciiTheme="majorEastAsia" w:eastAsiaTheme="majorEastAsia" w:hAnsiTheme="majorEastAsia" w:cs="方正楷体_GBK"/>
          <w:kern w:val="0"/>
          <w:szCs w:val="21"/>
          <w:lang w:bidi="ar"/>
        </w:rPr>
        <w:t>&gt;</w:t>
      </w:r>
      <w:r w:rsidRPr="00362E20">
        <w:rPr>
          <w:rFonts w:asciiTheme="majorEastAsia" w:eastAsiaTheme="majorEastAsia" w:hAnsiTheme="majorEastAsia" w:cs="方正楷体_GBK" w:hint="eastAsia"/>
          <w:kern w:val="0"/>
          <w:szCs w:val="21"/>
          <w:lang w:bidi="ar"/>
        </w:rPr>
        <w:t>年能源消费总量和同比变化</w:t>
      </w:r>
    </w:p>
    <w:p w14:paraId="318EB5B4" w14:textId="77777777" w:rsidR="00C31780" w:rsidRPr="00362E20" w:rsidRDefault="00C31780">
      <w:pPr>
        <w:rPr>
          <w:rFonts w:asciiTheme="majorEastAsia" w:eastAsiaTheme="majorEastAsia" w:hAnsiTheme="majorEastAsia" w:cs="黑体"/>
          <w:kern w:val="0"/>
          <w:sz w:val="32"/>
          <w:szCs w:val="32"/>
          <w:lang w:bidi="ar"/>
        </w:rPr>
      </w:pPr>
    </w:p>
    <w:sectPr w:rsidR="00C31780" w:rsidRPr="0036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002DB" w14:textId="77777777" w:rsidR="00801775" w:rsidRDefault="00801775">
      <w:r>
        <w:separator/>
      </w:r>
    </w:p>
  </w:endnote>
  <w:endnote w:type="continuationSeparator" w:id="0">
    <w:p w14:paraId="77D278AC" w14:textId="77777777" w:rsidR="00801775" w:rsidRDefault="0080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1" w:subsetted="1" w:fontKey="{D788E9A9-2916-4C4C-BDDF-F2A7EAC020B6}"/>
    <w:embedBold r:id="rId2" w:subsetted="1" w:fontKey="{68768E78-703F-ED49-A17F-00E3262C7152}"/>
    <w:embedItalic r:id="rId3" w:subsetted="1" w:fontKey="{208F77B9-7746-D746-BB6F-E0939BC0AD90}"/>
  </w:font>
  <w:font w:name="方正小标宋_GBK">
    <w:altName w:val="微软雅黑"/>
    <w:panose1 w:val="020B0604020202020204"/>
    <w:charset w:val="86"/>
    <w:family w:val="auto"/>
    <w:pitch w:val="default"/>
    <w:sig w:usb0="A00002BF" w:usb1="38CF7CFA" w:usb2="00082016" w:usb3="00000000" w:csb0="00040001" w:csb1="00000000"/>
  </w:font>
  <w:font w:name="方正楷体_GBK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微软雅黑"/>
    <w:panose1 w:val="020B0604020202020204"/>
    <w:charset w:val="86"/>
    <w:family w:val="auto"/>
    <w:pitch w:val="default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67BA4" w14:textId="77777777" w:rsidR="00801775" w:rsidRDefault="00801775">
      <w:r>
        <w:separator/>
      </w:r>
    </w:p>
  </w:footnote>
  <w:footnote w:type="continuationSeparator" w:id="0">
    <w:p w14:paraId="46A1046B" w14:textId="77777777" w:rsidR="00801775" w:rsidRDefault="00801775">
      <w:r>
        <w:continuationSeparator/>
      </w:r>
    </w:p>
  </w:footnote>
  <w:footnote w:id="1">
    <w:p w14:paraId="3CD80259" w14:textId="77777777" w:rsidR="00C31780" w:rsidRDefault="00C31780">
      <w:pPr>
        <w:pStyle w:val="a6"/>
        <w:spacing w:line="240" w:lineRule="exact"/>
        <w:rPr>
          <w:rFonts w:ascii="宋体" w:eastAsia="宋体" w:hAnsi="宋体" w:cs="宋体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14AF6"/>
    <w:multiLevelType w:val="hybridMultilevel"/>
    <w:tmpl w:val="DE0AE01A"/>
    <w:lvl w:ilvl="0" w:tplc="B27CE44C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2186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780"/>
    <w:rsid w:val="00024594"/>
    <w:rsid w:val="00036613"/>
    <w:rsid w:val="00073155"/>
    <w:rsid w:val="00110BFC"/>
    <w:rsid w:val="001F1243"/>
    <w:rsid w:val="003324A5"/>
    <w:rsid w:val="00362E20"/>
    <w:rsid w:val="003641D9"/>
    <w:rsid w:val="003A2B19"/>
    <w:rsid w:val="00436C42"/>
    <w:rsid w:val="0055043C"/>
    <w:rsid w:val="00693F89"/>
    <w:rsid w:val="00694C52"/>
    <w:rsid w:val="00801775"/>
    <w:rsid w:val="00847DA5"/>
    <w:rsid w:val="00860AAD"/>
    <w:rsid w:val="009257DD"/>
    <w:rsid w:val="00A55B5C"/>
    <w:rsid w:val="00B657EE"/>
    <w:rsid w:val="00BE2823"/>
    <w:rsid w:val="00C31780"/>
    <w:rsid w:val="00C76BEA"/>
    <w:rsid w:val="00D805CA"/>
    <w:rsid w:val="00DB6EB4"/>
    <w:rsid w:val="00DD5FFF"/>
    <w:rsid w:val="00ED62B4"/>
    <w:rsid w:val="055E32F7"/>
    <w:rsid w:val="066A0C59"/>
    <w:rsid w:val="06E25862"/>
    <w:rsid w:val="09AA6B0A"/>
    <w:rsid w:val="0B996E37"/>
    <w:rsid w:val="12DC3AAD"/>
    <w:rsid w:val="162E2871"/>
    <w:rsid w:val="175468FF"/>
    <w:rsid w:val="19C808E7"/>
    <w:rsid w:val="1EB53B30"/>
    <w:rsid w:val="2A181417"/>
    <w:rsid w:val="2D5409B8"/>
    <w:rsid w:val="31CE41BF"/>
    <w:rsid w:val="32586854"/>
    <w:rsid w:val="35B5220F"/>
    <w:rsid w:val="372F1A66"/>
    <w:rsid w:val="37CE1367"/>
    <w:rsid w:val="3C7E15AD"/>
    <w:rsid w:val="3E2C6DE7"/>
    <w:rsid w:val="3EF23B8C"/>
    <w:rsid w:val="41CF4659"/>
    <w:rsid w:val="451D0901"/>
    <w:rsid w:val="45352A25"/>
    <w:rsid w:val="468477C0"/>
    <w:rsid w:val="47906638"/>
    <w:rsid w:val="49465201"/>
    <w:rsid w:val="4CE216E4"/>
    <w:rsid w:val="51960CEF"/>
    <w:rsid w:val="5AD70D63"/>
    <w:rsid w:val="5D335644"/>
    <w:rsid w:val="5E4044BD"/>
    <w:rsid w:val="5E413D91"/>
    <w:rsid w:val="5F7A39FE"/>
    <w:rsid w:val="64D63485"/>
    <w:rsid w:val="665B6338"/>
    <w:rsid w:val="676E37CE"/>
    <w:rsid w:val="684626D0"/>
    <w:rsid w:val="693764BC"/>
    <w:rsid w:val="6EAB14DE"/>
    <w:rsid w:val="720F6228"/>
    <w:rsid w:val="7269628C"/>
    <w:rsid w:val="7F89761A"/>
    <w:rsid w:val="7F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1C5BF7"/>
  <w15:docId w15:val="{F6647DEF-EAD2-5C49-B837-5C301917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  <w:pPr>
      <w:spacing w:after="120"/>
    </w:pPr>
    <w:rPr>
      <w:szCs w:val="22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note text"/>
    <w:basedOn w:val="a"/>
    <w:qFormat/>
    <w:pPr>
      <w:snapToGrid w:val="0"/>
      <w:jc w:val="left"/>
    </w:pPr>
    <w:rPr>
      <w:sz w:val="18"/>
    </w:rPr>
  </w:style>
  <w:style w:type="character" w:styleId="a7">
    <w:name w:val="footnote reference"/>
    <w:basedOn w:val="a0"/>
    <w:qFormat/>
    <w:rPr>
      <w:vertAlign w:val="superscript"/>
    </w:rPr>
  </w:style>
  <w:style w:type="paragraph" w:styleId="a8">
    <w:name w:val="List Paragraph"/>
    <w:basedOn w:val="a"/>
    <w:uiPriority w:val="99"/>
    <w:unhideWhenUsed/>
    <w:rsid w:val="00362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lzf</dc:creator>
  <cp:lastModifiedBy>t71352</cp:lastModifiedBy>
  <cp:revision>12</cp:revision>
  <dcterms:created xsi:type="dcterms:W3CDTF">2025-04-17T13:45:00Z</dcterms:created>
  <dcterms:modified xsi:type="dcterms:W3CDTF">2025-04-17T17:04:00Z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eyJoZGlkIjoiMDJkYWRiMTM5NzA2YmM3ZjY1ZjkxYTU2NTk2NjcxNGIiLCJ1c2VySWQiOiIyODM0ODAzNCJ9</vt:lpwstr>
  </property>
  <property fmtid="{D5CDD505-2E9C-101B-9397-08002B2CF9AE}" pid="4" name="ICV">
    <vt:lpwstr>8543B8ECA865438F841E13AF67345DB2_12</vt:lpwstr>
  </property>
</Properties>
</file>