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1BA6E" w14:textId="4D1D5A52" w:rsidR="00EB56A1" w:rsidRPr="00EB56A1" w:rsidRDefault="00EB56A1" w:rsidP="00EB56A1">
      <w:pPr>
        <w:jc w:val="center"/>
        <w:rPr>
          <w:b/>
          <w:bCs/>
          <w:sz w:val="28"/>
          <w:szCs w:val="28"/>
        </w:rPr>
      </w:pPr>
      <w:r w:rsidRPr="00EB56A1">
        <w:rPr>
          <w:b/>
          <w:bCs/>
          <w:sz w:val="28"/>
          <w:szCs w:val="28"/>
        </w:rPr>
        <w:t>Executive Report – Hospital Performance Analysis</w:t>
      </w:r>
    </w:p>
    <w:p w14:paraId="1789DCB7" w14:textId="77777777" w:rsidR="00EB56A1" w:rsidRPr="00EB56A1" w:rsidRDefault="00EB56A1" w:rsidP="00EB56A1">
      <w:pPr>
        <w:spacing w:after="0"/>
        <w:rPr>
          <w:b/>
          <w:bCs/>
        </w:rPr>
      </w:pPr>
      <w:r w:rsidRPr="00EB56A1">
        <w:rPr>
          <w:b/>
          <w:bCs/>
        </w:rPr>
        <w:t>1. Executive Summary</w:t>
      </w:r>
    </w:p>
    <w:p w14:paraId="78A90951" w14:textId="77777777" w:rsidR="00EB56A1" w:rsidRDefault="00EB56A1" w:rsidP="00EB56A1">
      <w:pPr>
        <w:spacing w:after="0" w:line="240" w:lineRule="auto"/>
      </w:pPr>
      <w:r>
        <w:t>The hospital data analysis provides an overview of patient admissions, departmental performance, revenue, patient outcomes, waiting time, length of stay, diagnoses, and payment status. The hospital recorded 818 admissions involving 817 patients, generating approximately ₦244.44 million in revenue.</w:t>
      </w:r>
    </w:p>
    <w:p w14:paraId="17518574" w14:textId="2AA43599" w:rsidR="00EB56A1" w:rsidRDefault="00EB56A1" w:rsidP="00EB56A1">
      <w:pPr>
        <w:spacing w:after="0" w:line="240" w:lineRule="auto"/>
      </w:pPr>
      <w:r>
        <w:t>The analysis shows that General Medicine had the highest number of patients and generated the highest revenue, while patient outcomes were predominantly positive, with Recovered and Improved patients accounting for the largest shares. However, the high number of unpaid and pending payments and the average waiting time of approximately 100 minutes require management attention.</w:t>
      </w:r>
    </w:p>
    <w:p w14:paraId="2D796BA3" w14:textId="77777777" w:rsidR="00EB56A1" w:rsidRDefault="00EB56A1" w:rsidP="00EB56A1"/>
    <w:p w14:paraId="26232468" w14:textId="77777777" w:rsidR="00EB56A1" w:rsidRPr="00EB56A1" w:rsidRDefault="00EB56A1" w:rsidP="00EB56A1">
      <w:pPr>
        <w:rPr>
          <w:b/>
          <w:bCs/>
        </w:rPr>
      </w:pPr>
      <w:r w:rsidRPr="00EB56A1">
        <w:rPr>
          <w:b/>
          <w:bCs/>
        </w:rPr>
        <w:t>2. Key Performance Indicators</w:t>
      </w:r>
    </w:p>
    <w:p w14:paraId="2D387B9B" w14:textId="1E0010AC" w:rsidR="00EB56A1" w:rsidRDefault="00EB56A1" w:rsidP="00EB56A1">
      <w:pPr>
        <w:spacing w:line="240" w:lineRule="auto"/>
        <w:ind w:firstLine="720"/>
      </w:pPr>
      <w:r>
        <w:t>KPI</w:t>
      </w:r>
      <w:r>
        <w:tab/>
      </w:r>
      <w:r>
        <w:tab/>
      </w:r>
      <w:r>
        <w:tab/>
      </w:r>
      <w:r>
        <w:tab/>
      </w:r>
      <w:r>
        <w:tab/>
      </w:r>
      <w:r>
        <w:t>Result</w:t>
      </w:r>
    </w:p>
    <w:p w14:paraId="6AEAAA45" w14:textId="0B5DD94B" w:rsidR="00EB56A1" w:rsidRDefault="00EB56A1" w:rsidP="00EB56A1">
      <w:pPr>
        <w:pStyle w:val="ListParagraph"/>
        <w:numPr>
          <w:ilvl w:val="0"/>
          <w:numId w:val="1"/>
        </w:numPr>
        <w:spacing w:line="240" w:lineRule="auto"/>
      </w:pPr>
      <w:r>
        <w:t>Total Patients</w:t>
      </w:r>
      <w:r>
        <w:tab/>
      </w:r>
      <w:r>
        <w:tab/>
      </w:r>
      <w:r>
        <w:tab/>
      </w:r>
      <w:r>
        <w:tab/>
      </w:r>
      <w:r>
        <w:t>817</w:t>
      </w:r>
    </w:p>
    <w:p w14:paraId="4793056A" w14:textId="1C650722" w:rsidR="00EB56A1" w:rsidRDefault="00EB56A1" w:rsidP="00EB56A1">
      <w:pPr>
        <w:pStyle w:val="ListParagraph"/>
        <w:numPr>
          <w:ilvl w:val="0"/>
          <w:numId w:val="1"/>
        </w:numPr>
        <w:spacing w:line="240" w:lineRule="auto"/>
      </w:pPr>
      <w:r>
        <w:t>Total Admissions</w:t>
      </w:r>
      <w:r>
        <w:tab/>
      </w:r>
      <w:r>
        <w:tab/>
      </w:r>
      <w:r>
        <w:tab/>
      </w:r>
      <w:r>
        <w:t>818</w:t>
      </w:r>
    </w:p>
    <w:p w14:paraId="6E438028" w14:textId="5AEEF8B4" w:rsidR="00EB56A1" w:rsidRDefault="00EB56A1" w:rsidP="00EB56A1">
      <w:pPr>
        <w:pStyle w:val="ListParagraph"/>
        <w:numPr>
          <w:ilvl w:val="0"/>
          <w:numId w:val="1"/>
        </w:numPr>
        <w:spacing w:line="240" w:lineRule="auto"/>
      </w:pPr>
      <w:r>
        <w:t>Total Revenue</w:t>
      </w:r>
      <w:r>
        <w:tab/>
      </w:r>
      <w:r>
        <w:tab/>
      </w:r>
      <w:r>
        <w:tab/>
      </w:r>
      <w:r>
        <w:tab/>
      </w:r>
      <w:r>
        <w:t>₦244.44M</w:t>
      </w:r>
    </w:p>
    <w:p w14:paraId="2E9877C4" w14:textId="3FBFC3C4" w:rsidR="00EB56A1" w:rsidRDefault="00EB56A1" w:rsidP="00EB56A1">
      <w:pPr>
        <w:pStyle w:val="ListParagraph"/>
        <w:numPr>
          <w:ilvl w:val="0"/>
          <w:numId w:val="1"/>
        </w:numPr>
        <w:spacing w:line="240" w:lineRule="auto"/>
      </w:pPr>
      <w:r>
        <w:t>Average Waiting Time</w:t>
      </w:r>
      <w:r>
        <w:tab/>
      </w:r>
      <w:r>
        <w:tab/>
      </w:r>
      <w:r>
        <w:tab/>
      </w:r>
      <w:r>
        <w:t>100.23 minutes</w:t>
      </w:r>
    </w:p>
    <w:p w14:paraId="2A377026" w14:textId="3AC6087A" w:rsidR="00EB56A1" w:rsidRDefault="00EB56A1" w:rsidP="00EB56A1">
      <w:pPr>
        <w:pStyle w:val="ListParagraph"/>
        <w:numPr>
          <w:ilvl w:val="0"/>
          <w:numId w:val="1"/>
        </w:numPr>
        <w:spacing w:line="240" w:lineRule="auto"/>
      </w:pPr>
      <w:r>
        <w:t>Average Length of Stay</w:t>
      </w:r>
      <w:r>
        <w:tab/>
      </w:r>
      <w:r>
        <w:tab/>
      </w:r>
      <w:r>
        <w:t>3.58 days</w:t>
      </w:r>
    </w:p>
    <w:p w14:paraId="2BD62265" w14:textId="629C7D8D" w:rsidR="00EB56A1" w:rsidRDefault="00EB56A1" w:rsidP="00EB56A1">
      <w:pPr>
        <w:pStyle w:val="ListParagraph"/>
        <w:numPr>
          <w:ilvl w:val="0"/>
          <w:numId w:val="1"/>
        </w:numPr>
        <w:spacing w:line="240" w:lineRule="auto"/>
      </w:pPr>
      <w:r>
        <w:t>Average Patient Rate</w:t>
      </w:r>
      <w:r>
        <w:tab/>
      </w:r>
      <w:r>
        <w:tab/>
      </w:r>
      <w:r>
        <w:tab/>
      </w:r>
      <w:r>
        <w:t>3.62</w:t>
      </w:r>
    </w:p>
    <w:p w14:paraId="50F24632" w14:textId="77777777" w:rsidR="00EB56A1" w:rsidRDefault="00EB56A1" w:rsidP="00EB56A1"/>
    <w:p w14:paraId="1D7EB97E" w14:textId="1313C4AF" w:rsidR="00EB56A1" w:rsidRPr="00EB56A1" w:rsidRDefault="00EB56A1" w:rsidP="00EB56A1">
      <w:pPr>
        <w:rPr>
          <w:b/>
          <w:bCs/>
        </w:rPr>
      </w:pPr>
      <w:r w:rsidRPr="00EB56A1">
        <w:rPr>
          <w:b/>
          <w:bCs/>
        </w:rPr>
        <w:t>3. Key Findings</w:t>
      </w:r>
    </w:p>
    <w:p w14:paraId="3B490A0B" w14:textId="77777777" w:rsidR="00EB56A1" w:rsidRPr="00EB56A1" w:rsidRDefault="00EB56A1" w:rsidP="00EB56A1">
      <w:pPr>
        <w:spacing w:after="0" w:line="240" w:lineRule="auto"/>
        <w:rPr>
          <w:b/>
          <w:bCs/>
        </w:rPr>
      </w:pPr>
      <w:r w:rsidRPr="00EB56A1">
        <w:rPr>
          <w:b/>
          <w:bCs/>
        </w:rPr>
        <w:t>Department Performance</w:t>
      </w:r>
    </w:p>
    <w:p w14:paraId="64E36132" w14:textId="0CE4A98C" w:rsidR="00EB56A1" w:rsidRDefault="00EB56A1" w:rsidP="00EB56A1">
      <w:pPr>
        <w:spacing w:after="0" w:line="240" w:lineRule="auto"/>
      </w:pPr>
      <w:r>
        <w:t>General Medicine recorded the highest patient volume at 168 patients, followed by Cardiology with 140 patients. Neurology had the lowest patient volume among the departments shown, with 64 patients.</w:t>
      </w:r>
    </w:p>
    <w:p w14:paraId="6DCCD4B1" w14:textId="77777777" w:rsidR="00EB56A1" w:rsidRDefault="00EB56A1" w:rsidP="00EB56A1">
      <w:pPr>
        <w:spacing w:after="0" w:line="240" w:lineRule="auto"/>
      </w:pPr>
      <w:r>
        <w:t>General Medicine also generated the highest departmental revenue at approximately 48%, followed by Cardiology at 40%.</w:t>
      </w:r>
    </w:p>
    <w:p w14:paraId="660882F0" w14:textId="77777777" w:rsidR="00EB56A1" w:rsidRDefault="00EB56A1" w:rsidP="00EB56A1">
      <w:pPr>
        <w:spacing w:after="0"/>
      </w:pPr>
    </w:p>
    <w:p w14:paraId="1DB71A5F" w14:textId="7429779A" w:rsidR="00EB56A1" w:rsidRPr="00EB56A1" w:rsidRDefault="00EB56A1" w:rsidP="00EB56A1">
      <w:pPr>
        <w:spacing w:after="0" w:line="240" w:lineRule="auto"/>
        <w:rPr>
          <w:b/>
          <w:bCs/>
        </w:rPr>
      </w:pPr>
      <w:r w:rsidRPr="00EB56A1">
        <w:rPr>
          <w:b/>
          <w:bCs/>
        </w:rPr>
        <w:t>Patient Outcomes</w:t>
      </w:r>
    </w:p>
    <w:p w14:paraId="6002CF32" w14:textId="227B6DA1" w:rsidR="00EB56A1" w:rsidRDefault="00EB56A1" w:rsidP="00EB56A1">
      <w:pPr>
        <w:spacing w:after="0" w:line="240" w:lineRule="auto"/>
      </w:pPr>
      <w:r>
        <w:t>The patient outcome distribution shows:</w:t>
      </w:r>
    </w:p>
    <w:p w14:paraId="66D3A287" w14:textId="1EBE9F82" w:rsidR="00EB56A1" w:rsidRDefault="00EB56A1" w:rsidP="00EB56A1">
      <w:pPr>
        <w:pStyle w:val="ListParagraph"/>
        <w:numPr>
          <w:ilvl w:val="0"/>
          <w:numId w:val="1"/>
        </w:numPr>
        <w:spacing w:after="0" w:line="240" w:lineRule="auto"/>
      </w:pPr>
      <w:r>
        <w:t>Recovered: 289 patients (35.37%)</w:t>
      </w:r>
    </w:p>
    <w:p w14:paraId="600F0E6D" w14:textId="19453B4B" w:rsidR="00EB56A1" w:rsidRDefault="00EB56A1" w:rsidP="00EB56A1">
      <w:pPr>
        <w:pStyle w:val="ListParagraph"/>
        <w:numPr>
          <w:ilvl w:val="0"/>
          <w:numId w:val="1"/>
        </w:numPr>
        <w:spacing w:after="0" w:line="240" w:lineRule="auto"/>
      </w:pPr>
      <w:r>
        <w:t>Improved: 246 patients (30.11%)</w:t>
      </w:r>
    </w:p>
    <w:p w14:paraId="3CA94F54" w14:textId="03FBDCDD" w:rsidR="00EB56A1" w:rsidRDefault="00EB56A1" w:rsidP="00EB56A1">
      <w:pPr>
        <w:pStyle w:val="ListParagraph"/>
        <w:numPr>
          <w:ilvl w:val="0"/>
          <w:numId w:val="1"/>
        </w:numPr>
        <w:spacing w:after="0" w:line="240" w:lineRule="auto"/>
      </w:pPr>
      <w:r>
        <w:t>Referred: 152 patients (18.60%)</w:t>
      </w:r>
    </w:p>
    <w:p w14:paraId="46551A4A" w14:textId="6C1BFE17" w:rsidR="00EB56A1" w:rsidRDefault="00EB56A1" w:rsidP="00EB56A1">
      <w:pPr>
        <w:pStyle w:val="ListParagraph"/>
        <w:numPr>
          <w:ilvl w:val="0"/>
          <w:numId w:val="1"/>
        </w:numPr>
        <w:spacing w:after="0" w:line="240" w:lineRule="auto"/>
      </w:pPr>
      <w:r>
        <w:t>Deceased: 130 patients (15.91%)</w:t>
      </w:r>
    </w:p>
    <w:p w14:paraId="4BE0699D" w14:textId="77777777" w:rsidR="00EB56A1" w:rsidRDefault="00EB56A1" w:rsidP="00EB56A1">
      <w:pPr>
        <w:spacing w:after="0" w:line="240" w:lineRule="auto"/>
      </w:pPr>
    </w:p>
    <w:p w14:paraId="7264718D" w14:textId="77777777" w:rsidR="00EB56A1" w:rsidRDefault="00EB56A1" w:rsidP="00EB56A1">
      <w:pPr>
        <w:spacing w:after="0" w:line="240" w:lineRule="auto"/>
      </w:pPr>
      <w:r>
        <w:t>Overall, 65.48% of patients either recovered or improved, indicating that the majority of patients had positive outcomes.</w:t>
      </w:r>
    </w:p>
    <w:p w14:paraId="12651BD9" w14:textId="77777777" w:rsidR="00EB56A1" w:rsidRDefault="00EB56A1" w:rsidP="00EB56A1"/>
    <w:p w14:paraId="71979232" w14:textId="77777777" w:rsidR="00EB56A1" w:rsidRDefault="00EB56A1" w:rsidP="00EB56A1"/>
    <w:p w14:paraId="4BE9FD6B" w14:textId="6CCC3845" w:rsidR="00EB56A1" w:rsidRPr="00EB56A1" w:rsidRDefault="00EB56A1" w:rsidP="00EB56A1">
      <w:pPr>
        <w:spacing w:after="0" w:line="240" w:lineRule="auto"/>
        <w:rPr>
          <w:b/>
          <w:bCs/>
        </w:rPr>
      </w:pPr>
      <w:r w:rsidRPr="00EB56A1">
        <w:rPr>
          <w:b/>
          <w:bCs/>
        </w:rPr>
        <w:lastRenderedPageBreak/>
        <w:t>Top Diagnoses</w:t>
      </w:r>
    </w:p>
    <w:p w14:paraId="5A9C0355" w14:textId="77777777" w:rsidR="00EB56A1" w:rsidRDefault="00EB56A1" w:rsidP="00EB56A1">
      <w:pPr>
        <w:spacing w:after="0" w:line="240" w:lineRule="auto"/>
      </w:pPr>
      <w:r>
        <w:t>Hypertension was the most frequently recorded diagnosis, followed by pneumonia. Other common diagnoses included malaria, asthma and diabetes-related conditions.</w:t>
      </w:r>
    </w:p>
    <w:p w14:paraId="51C6027C" w14:textId="77777777" w:rsidR="00EB56A1" w:rsidRDefault="00EB56A1" w:rsidP="00EB56A1">
      <w:pPr>
        <w:spacing w:after="0" w:line="240" w:lineRule="auto"/>
      </w:pPr>
      <w:r>
        <w:t>This suggests that chronic and infectious diseases represent important areas for continued monitoring and resource allocation.</w:t>
      </w:r>
    </w:p>
    <w:p w14:paraId="125E25A2" w14:textId="77777777" w:rsidR="00EB56A1" w:rsidRDefault="00EB56A1" w:rsidP="00EB56A1"/>
    <w:p w14:paraId="75C2F2AE" w14:textId="77777777" w:rsidR="00EB56A1" w:rsidRPr="00EB56A1" w:rsidRDefault="00EB56A1" w:rsidP="00EB56A1">
      <w:pPr>
        <w:spacing w:after="0" w:line="240" w:lineRule="auto"/>
        <w:rPr>
          <w:b/>
          <w:bCs/>
        </w:rPr>
      </w:pPr>
      <w:r w:rsidRPr="00EB56A1">
        <w:rPr>
          <w:b/>
          <w:bCs/>
        </w:rPr>
        <w:t>Admissions Trend</w:t>
      </w:r>
    </w:p>
    <w:p w14:paraId="34CEB087" w14:textId="7D7E6A5A" w:rsidR="00EB56A1" w:rsidRDefault="00EB56A1" w:rsidP="00EB56A1">
      <w:pPr>
        <w:spacing w:after="0" w:line="240" w:lineRule="auto"/>
      </w:pPr>
      <w:r>
        <w:t>Monthly admissions fluctuated throughout the year, with noticeable changes between months. Management should investigate periods of unusually high or low admissions to understand whether they are related to seasonal disease patterns, emergency cases, staffing, or other operational factors.</w:t>
      </w:r>
    </w:p>
    <w:p w14:paraId="7856EAA7" w14:textId="77777777" w:rsidR="00EB56A1" w:rsidRDefault="00EB56A1" w:rsidP="00EB56A1"/>
    <w:p w14:paraId="0FAFC60F" w14:textId="14E78B0F" w:rsidR="00EB56A1" w:rsidRPr="00EB56A1" w:rsidRDefault="00EB56A1" w:rsidP="00EB56A1">
      <w:pPr>
        <w:spacing w:line="240" w:lineRule="auto"/>
        <w:rPr>
          <w:b/>
          <w:bCs/>
        </w:rPr>
      </w:pPr>
      <w:r w:rsidRPr="00EB56A1">
        <w:rPr>
          <w:b/>
          <w:bCs/>
        </w:rPr>
        <w:t>4. Recommendations</w:t>
      </w:r>
    </w:p>
    <w:p w14:paraId="654DF8FA" w14:textId="1214D4E4" w:rsidR="00EB56A1" w:rsidRDefault="00EB56A1" w:rsidP="00EB56A1">
      <w:pPr>
        <w:pStyle w:val="ListParagraph"/>
        <w:numPr>
          <w:ilvl w:val="0"/>
          <w:numId w:val="3"/>
        </w:numPr>
        <w:spacing w:line="240" w:lineRule="auto"/>
      </w:pPr>
      <w:r>
        <w:t>Improve payment collection by following up on unpaid and pending bills.</w:t>
      </w:r>
    </w:p>
    <w:p w14:paraId="7B556C41" w14:textId="05BE2915" w:rsidR="00EB56A1" w:rsidRDefault="00EB56A1" w:rsidP="00EB56A1">
      <w:pPr>
        <w:pStyle w:val="ListParagraph"/>
        <w:numPr>
          <w:ilvl w:val="0"/>
          <w:numId w:val="3"/>
        </w:numPr>
        <w:spacing w:line="240" w:lineRule="auto"/>
      </w:pPr>
      <w:r>
        <w:t>Reduce patient waiting time, particularly in departments experiencing high patient volumes.</w:t>
      </w:r>
    </w:p>
    <w:p w14:paraId="1726E6DD" w14:textId="49A25A3A" w:rsidR="00EB56A1" w:rsidRDefault="00EB56A1" w:rsidP="00EB56A1">
      <w:pPr>
        <w:pStyle w:val="ListParagraph"/>
        <w:numPr>
          <w:ilvl w:val="0"/>
          <w:numId w:val="3"/>
        </w:numPr>
        <w:spacing w:line="240" w:lineRule="auto"/>
      </w:pPr>
      <w:r>
        <w:t>Allocate resources according to patient demand, especially to high-volume departments such as General Medicine and Cardiology.</w:t>
      </w:r>
    </w:p>
    <w:p w14:paraId="4A735977" w14:textId="70E5EABC" w:rsidR="00EB56A1" w:rsidRDefault="00EB56A1" w:rsidP="00EB56A1">
      <w:pPr>
        <w:pStyle w:val="ListParagraph"/>
        <w:numPr>
          <w:ilvl w:val="0"/>
          <w:numId w:val="3"/>
        </w:numPr>
        <w:spacing w:line="240" w:lineRule="auto"/>
      </w:pPr>
      <w:r>
        <w:t>Monitor mortality rates and investigate the causes of the 130 recorded deceased outcomes.</w:t>
      </w:r>
    </w:p>
    <w:p w14:paraId="463C1860" w14:textId="475F5366" w:rsidR="00EB56A1" w:rsidRDefault="00EB56A1" w:rsidP="00EB56A1">
      <w:pPr>
        <w:pStyle w:val="ListParagraph"/>
        <w:numPr>
          <w:ilvl w:val="0"/>
          <w:numId w:val="3"/>
        </w:numPr>
        <w:spacing w:line="240" w:lineRule="auto"/>
      </w:pPr>
      <w:r>
        <w:t>Track common diagnoses, particularly hypertension and pneumonia, to support preventive healthcare initiatives.</w:t>
      </w:r>
    </w:p>
    <w:p w14:paraId="0A7FF52B" w14:textId="68F4A632" w:rsidR="00EB56A1" w:rsidRDefault="00EB56A1" w:rsidP="00EB56A1">
      <w:pPr>
        <w:pStyle w:val="ListParagraph"/>
        <w:numPr>
          <w:ilvl w:val="0"/>
          <w:numId w:val="3"/>
        </w:numPr>
        <w:spacing w:line="240" w:lineRule="auto"/>
      </w:pPr>
      <w:r>
        <w:t>Monitor monthly admission trends to improve staffing, bed capacity, and resource planning.</w:t>
      </w:r>
    </w:p>
    <w:p w14:paraId="69ED2160" w14:textId="77777777" w:rsidR="00EB56A1" w:rsidRDefault="00EB56A1" w:rsidP="00EB56A1">
      <w:pPr>
        <w:spacing w:line="240" w:lineRule="auto"/>
      </w:pPr>
    </w:p>
    <w:p w14:paraId="5C7ADC64" w14:textId="3F41EADD" w:rsidR="00EB56A1" w:rsidRPr="00EB56A1" w:rsidRDefault="00EB56A1" w:rsidP="00EB56A1">
      <w:pPr>
        <w:spacing w:line="240" w:lineRule="auto"/>
        <w:rPr>
          <w:b/>
          <w:bCs/>
        </w:rPr>
      </w:pPr>
      <w:r w:rsidRPr="00EB56A1">
        <w:rPr>
          <w:b/>
          <w:bCs/>
        </w:rPr>
        <w:t>5. Conclusion</w:t>
      </w:r>
    </w:p>
    <w:p w14:paraId="684B221A" w14:textId="7065C550" w:rsidR="009F413D" w:rsidRDefault="00EB56A1" w:rsidP="00EB56A1">
      <w:pPr>
        <w:spacing w:line="240" w:lineRule="auto"/>
      </w:pPr>
      <w:r>
        <w:t>The analysis indicates that the hospital handles a significant volume of patients and generates substantial revenue, with General Medicine and Cardiology being major contributors to patient volume and revenue. While the majority of patients recovered or improved, the hospital should focus on reducing waiting times, improving payment collection, and investigating mortality and admission trends to strengthen overall operational and financial performance.</w:t>
      </w:r>
    </w:p>
    <w:sectPr w:rsidR="009F413D" w:rsidSect="00EB56A1">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03588"/>
    <w:multiLevelType w:val="hybridMultilevel"/>
    <w:tmpl w:val="B5C0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9075C"/>
    <w:multiLevelType w:val="hybridMultilevel"/>
    <w:tmpl w:val="3EDC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F82D50"/>
    <w:multiLevelType w:val="hybridMultilevel"/>
    <w:tmpl w:val="4788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AD2F2B"/>
    <w:multiLevelType w:val="hybridMultilevel"/>
    <w:tmpl w:val="6B54F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208124">
    <w:abstractNumId w:val="0"/>
  </w:num>
  <w:num w:numId="2" w16cid:durableId="1133249540">
    <w:abstractNumId w:val="3"/>
  </w:num>
  <w:num w:numId="3" w16cid:durableId="1872722933">
    <w:abstractNumId w:val="2"/>
  </w:num>
  <w:num w:numId="4" w16cid:durableId="69619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6A1"/>
    <w:rsid w:val="0087076F"/>
    <w:rsid w:val="009F413D"/>
    <w:rsid w:val="00A12406"/>
    <w:rsid w:val="00E90FA2"/>
    <w:rsid w:val="00EB56A1"/>
    <w:rsid w:val="00FE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A6CF"/>
  <w15:chartTrackingRefBased/>
  <w15:docId w15:val="{7E84F88C-38DF-45B8-8E22-CAA300AC6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6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6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6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6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56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5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6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6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6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6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56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5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6A1"/>
    <w:rPr>
      <w:rFonts w:eastAsiaTheme="majorEastAsia" w:cstheme="majorBidi"/>
      <w:color w:val="272727" w:themeColor="text1" w:themeTint="D8"/>
    </w:rPr>
  </w:style>
  <w:style w:type="paragraph" w:styleId="Title">
    <w:name w:val="Title"/>
    <w:basedOn w:val="Normal"/>
    <w:next w:val="Normal"/>
    <w:link w:val="TitleChar"/>
    <w:uiPriority w:val="10"/>
    <w:qFormat/>
    <w:rsid w:val="00EB5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6A1"/>
    <w:pPr>
      <w:spacing w:before="160"/>
      <w:jc w:val="center"/>
    </w:pPr>
    <w:rPr>
      <w:i/>
      <w:iCs/>
      <w:color w:val="404040" w:themeColor="text1" w:themeTint="BF"/>
    </w:rPr>
  </w:style>
  <w:style w:type="character" w:customStyle="1" w:styleId="QuoteChar">
    <w:name w:val="Quote Char"/>
    <w:basedOn w:val="DefaultParagraphFont"/>
    <w:link w:val="Quote"/>
    <w:uiPriority w:val="29"/>
    <w:rsid w:val="00EB56A1"/>
    <w:rPr>
      <w:i/>
      <w:iCs/>
      <w:color w:val="404040" w:themeColor="text1" w:themeTint="BF"/>
    </w:rPr>
  </w:style>
  <w:style w:type="paragraph" w:styleId="ListParagraph">
    <w:name w:val="List Paragraph"/>
    <w:basedOn w:val="Normal"/>
    <w:uiPriority w:val="34"/>
    <w:qFormat/>
    <w:rsid w:val="00EB56A1"/>
    <w:pPr>
      <w:ind w:left="720"/>
      <w:contextualSpacing/>
    </w:pPr>
  </w:style>
  <w:style w:type="character" w:styleId="IntenseEmphasis">
    <w:name w:val="Intense Emphasis"/>
    <w:basedOn w:val="DefaultParagraphFont"/>
    <w:uiPriority w:val="21"/>
    <w:qFormat/>
    <w:rsid w:val="00EB56A1"/>
    <w:rPr>
      <w:i/>
      <w:iCs/>
      <w:color w:val="2F5496" w:themeColor="accent1" w:themeShade="BF"/>
    </w:rPr>
  </w:style>
  <w:style w:type="paragraph" w:styleId="IntenseQuote">
    <w:name w:val="Intense Quote"/>
    <w:basedOn w:val="Normal"/>
    <w:next w:val="Normal"/>
    <w:link w:val="IntenseQuoteChar"/>
    <w:uiPriority w:val="30"/>
    <w:qFormat/>
    <w:rsid w:val="00EB56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6A1"/>
    <w:rPr>
      <w:i/>
      <w:iCs/>
      <w:color w:val="2F5496" w:themeColor="accent1" w:themeShade="BF"/>
    </w:rPr>
  </w:style>
  <w:style w:type="character" w:styleId="IntenseReference">
    <w:name w:val="Intense Reference"/>
    <w:basedOn w:val="DefaultParagraphFont"/>
    <w:uiPriority w:val="32"/>
    <w:qFormat/>
    <w:rsid w:val="00EB56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okpeh peter</dc:creator>
  <cp:keywords/>
  <dc:description/>
  <cp:lastModifiedBy>okpeh peter</cp:lastModifiedBy>
  <cp:revision>1</cp:revision>
  <dcterms:created xsi:type="dcterms:W3CDTF">2026-09-07T16:11:00Z</dcterms:created>
  <dcterms:modified xsi:type="dcterms:W3CDTF">2026-09-07T16:22:00Z</dcterms:modified>
</cp:coreProperties>
</file>