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 DEMOGRÁFICO DEL PROYECTO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demográfico completo de los estudiantes participantes en el proyecto. A continuación se muestran las distribuciones por género, edad y estrato socioeconómico, elementos clave para comprender el perfil de la población atendida y orientar estrategias pedagógicas inclusivas.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56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5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género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rango de edad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1221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