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360" w:after="240"/>
        <w:jc w:val="center"/>
        <w:pBdr>
          <w:bottom w:val="single" w:sz="8" w:space="1" w:color="2E3F5F"/>
        </w:pBdr>
      </w:pPr>
      <w:r>
        <w:rPr>
          <w:rFonts w:ascii="Lora" w:hAnsi="Lora"/>
          <w:b/>
          <w:color w:val="2E3F5F"/>
          <w:sz w:val="28"/>
        </w:rPr>
        <w:t>1. INFORME DE ANÁLISIS</w:t>
      </w:r>
    </w:p>
    <w:p>
      <w:pPr>
        <w:pStyle w:val="Heading2"/>
        <w:spacing w:before="280" w:after="160"/>
        <w:jc w:val="left"/>
        <w:pBdr>
          <w:bottom w:val="single" w:sz="6" w:space="1" w:color="D3D3D3"/>
        </w:pBdr>
      </w:pPr>
      <w:r>
        <w:rPr>
          <w:rFonts w:ascii="Lora" w:hAnsi="Lora"/>
          <w:b/>
          <w:color w:val="4F4F4F"/>
          <w:sz w:val="24"/>
        </w:rPr>
        <w:t>1.1 Introducción al proyecto</w:t>
      </w:r>
    </w:p>
    <w:p>
      <w:pPr>
        <w:jc w:val="both"/>
      </w:pPr>
      <w:r>
        <w:rPr>
          <w:rFonts w:ascii="Segoe UI Light" w:hAnsi="Segoe UI Light"/>
          <w:sz w:val="16"/>
        </w:rPr>
        <w:t>Este documento presenta un análisis exhaustivo del proyecto educativo, incluyendo información demográfica de los estudiantes, distribución por instituciones, y análisis de asistencia.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Proyecto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Activos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Instituciones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Salones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Mujeres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Hombres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Rango de edad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Mujeres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Hombres</w:t>
            </w:r>
          </w:p>
        </w:tc>
      </w:tr>
      <w:tr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+Educación+Innovación 2025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7984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28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245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4758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3155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 a 24 años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59.6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39.5</w:t>
            </w:r>
          </w:p>
        </w:tc>
      </w:tr>
    </w:tbl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1.1.1 Distribución por Institución Educativa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505"/>
        <w:gridCol w:w="1505"/>
        <w:gridCol w:w="1505"/>
        <w:gridCol w:w="1505"/>
        <w:gridCol w:w="1505"/>
        <w:gridCol w:w="1505"/>
      </w:tblGrid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Institución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Activos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Mujeres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Hombres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Mujeres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Hombres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E.N.S. Del Distrito De Barranquilla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491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292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197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59.5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40.1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E.N.S. La Hacienda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860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381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475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44.3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55.2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Alexander Von Humboldt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164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60.4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38.4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Betania Norte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314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153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154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48.7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49.0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Brisas Del Río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58.2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41.8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Comunitaria Metropolitana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233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47.2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52.8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Cruzada Social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282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279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98.9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0.0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El Campito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218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106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51.4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48.6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El Cañahuate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116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50.0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49.1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Evardo Turizo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347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204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138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58.8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39.8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Experiencias Pedagógicas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181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49.2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49.7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Fundación Pies Descalzos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274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145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52.9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46.4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Hogar Mariano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98.9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0.3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Juan José Rondón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198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106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44.9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53.5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Las Flores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159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56.0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43.4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Manuel Zapata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232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50.4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48.7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Marie Poussepin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365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99.2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0.0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María Cano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175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188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47.7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51.2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María Inmaculada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304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301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99.0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0.0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Meira Del Mar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462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185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277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40.0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60.0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Ntra Señora Del Rosario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162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48.1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50.0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Nueva Granada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334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201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38.3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60.2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Reuven Feuerstein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176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76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95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43.2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54.0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San Salvador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41.7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57.5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San Vicente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204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57.8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41.2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Tierra Santa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75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52.0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48.0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Técnico De Comercio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319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316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99.1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0.3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Villas De San Pablo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562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293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263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52.1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46.8</w:t>
            </w:r>
          </w:p>
        </w:tc>
      </w:tr>
    </w:tbl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1.1.2 Distribución por Grado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505"/>
        <w:gridCol w:w="1505"/>
        <w:gridCol w:w="1505"/>
        <w:gridCol w:w="1505"/>
        <w:gridCol w:w="1505"/>
        <w:gridCol w:w="1505"/>
      </w:tblGrid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Grado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Activos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Mujeres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Hombres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Mujeres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Hombres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2889.0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1694.0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1167.0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58.6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40.4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10.0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2515.0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1465.0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1030.0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58.3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41.0</w:t>
            </w:r>
          </w:p>
        </w:tc>
      </w:tr>
      <w:tr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2580.0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1599.0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958.0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62.0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37.1</w:t>
            </w:r>
          </w:p>
        </w:tc>
      </w:tr>
    </w:tbl>
    <w:p>
      <w:pPr>
        <w:pStyle w:val="Heading2"/>
        <w:spacing w:before="280" w:after="160"/>
        <w:jc w:val="left"/>
        <w:pBdr>
          <w:bottom w:val="single" w:sz="6" w:space="1" w:color="D3D3D3"/>
        </w:pBdr>
      </w:pPr>
      <w:r>
        <w:rPr>
          <w:rFonts w:ascii="Lora" w:hAnsi="Lora"/>
          <w:b/>
          <w:color w:val="4F4F4F"/>
          <w:sz w:val="24"/>
        </w:rPr>
        <w:t>1.2 Análisis Demográfico</w:t>
      </w:r>
    </w:p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1.2.1 Distribución por Edad</w:t>
      </w:r>
    </w:p>
    <w:p>
      <w:pPr>
        <w:jc w:val="both"/>
      </w:pPr>
      <w:r>
        <w:rPr>
          <w:rFonts w:ascii="Segoe UI Light" w:hAnsi="Segoe UI Light"/>
          <w:sz w:val="16"/>
        </w:rPr>
        <w:t>El análisis por rangos etarios permite identificar los grupos de edad predominantes en el proyecto. Esta información es fundamental para ajustar contenidos, metodologías y dinámicas de aprendizaje según el nivel de desarrollo de los participantes.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5018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018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Segoe UI Light" w:hAnsi="Segoe UI Light"/>
          <w:b/>
          <w:i/>
          <w:sz w:val="12"/>
        </w:rPr>
        <w:t>Figura 1: Distribución de estudiantes por rango de edad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010"/>
        <w:gridCol w:w="3010"/>
        <w:gridCol w:w="3010"/>
      </w:tblGrid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Rango de Edad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Estudiantes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del total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Menos de 13 años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0.1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13-15 años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5451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68.3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16-18 años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2508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31.4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19-25 años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16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0.2</w:t>
            </w:r>
          </w:p>
        </w:tc>
      </w:tr>
    </w:tbl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1.2.2 Distribución por Género</w:t>
      </w:r>
    </w:p>
    <w:p>
      <w:pPr>
        <w:jc w:val="both"/>
      </w:pPr>
      <w:r>
        <w:rPr>
          <w:rFonts w:ascii="Segoe UI Light" w:hAnsi="Segoe UI Light"/>
          <w:sz w:val="16"/>
        </w:rPr>
        <w:t>La siguiente gráfica muestra la distribución de estudiantes según su género. Este indicador permite evaluar la equidad de acceso al programa y diseñar estrategias de inclusión cuando sea necesario.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415893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589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Segoe UI Light" w:hAnsi="Segoe UI Light"/>
          <w:b/>
          <w:i/>
          <w:sz w:val="12"/>
        </w:rPr>
        <w:t>Figura 2: Distribución de estudiantes por género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010"/>
        <w:gridCol w:w="3010"/>
        <w:gridCol w:w="3010"/>
      </w:tblGrid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Género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Estudiantes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del total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Femenino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4758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59.6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Masculino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3155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39.5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Indefinido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71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0.9</w:t>
            </w:r>
          </w:p>
        </w:tc>
      </w:tr>
    </w:tbl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1.2.3 Distribución por Estrato Socioeconómico</w:t>
      </w:r>
    </w:p>
    <w:p>
      <w:pPr>
        <w:jc w:val="both"/>
      </w:pPr>
      <w:r>
        <w:rPr>
          <w:rFonts w:ascii="Segoe UI Light" w:hAnsi="Segoe UI Light"/>
          <w:sz w:val="16"/>
        </w:rPr>
        <w:t>La distribución por estrato socioeconómico refleja el contexto económico de los estudiantes. Este dato es relevante para comprender barreras de acceso tecnológico, diseñar políticas de apoyo y evaluar el impacto social del proyecto en poblaciones vulnerables.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50946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094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Segoe UI Light" w:hAnsi="Segoe UI Light"/>
          <w:b/>
          <w:i/>
          <w:sz w:val="12"/>
        </w:rPr>
        <w:t>Figura 3: Distribución de estudiantes por estrato socioeconómico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010"/>
        <w:gridCol w:w="3010"/>
        <w:gridCol w:w="3010"/>
      </w:tblGrid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Estrato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Estudiantes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Porcentaje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1. Estrato 1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1991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24.9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2. Estrato 2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1868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23.4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3. Estrato 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1802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22.6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4. Estrato 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457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5.7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5. Estrato 5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57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0.7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6. Estrato 6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0.3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7. No lo sé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640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8.0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Sin respuesta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1145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14.3</w:t>
            </w:r>
          </w:p>
        </w:tc>
      </w:tr>
    </w:tbl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1.2.4 Distribución por Etnia</w:t>
      </w:r>
    </w:p>
    <w:p>
      <w:pPr>
        <w:jc w:val="both"/>
      </w:pPr>
      <w:r>
        <w:rPr>
          <w:rFonts w:ascii="Segoe UI Light" w:hAnsi="Segoe UI Light"/>
          <w:sz w:val="16"/>
        </w:rPr>
        <w:t>El análisis de diversidad étnica permite comprender la composición multicultural del proyecto y diseñar estrategias pedagógicas inclusivas que respeten y valoren la diversidad cultural.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43976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397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Segoe UI Light" w:hAnsi="Segoe UI Light"/>
          <w:b/>
          <w:i/>
          <w:sz w:val="12"/>
        </w:rPr>
        <w:t>Figura 4: Distribución de estudiantes por etnia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010"/>
        <w:gridCol w:w="3010"/>
        <w:gridCol w:w="3010"/>
      </w:tblGrid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Etnia/Ascendencia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Identificadas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del total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1. Indígena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239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3.0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2. Negro, afrocolombiano, raizal, palenquero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630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7.9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3. Gitano o ROM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0.2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4. Mestizo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3517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44.1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5. Blanco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1727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21.6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6. Otro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1260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15.8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Sin información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1143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14.3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Sin respuesta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0.0</w:t>
            </w:r>
          </w:p>
        </w:tc>
      </w:tr>
    </w:tbl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1.2.5 Uso de Dispositivos Tecnológicos</w:t>
      </w:r>
    </w:p>
    <w:p>
      <w:pPr>
        <w:jc w:val="both"/>
      </w:pPr>
      <w:r>
        <w:rPr>
          <w:rFonts w:ascii="Segoe UI Light" w:hAnsi="Segoe UI Light"/>
          <w:sz w:val="16"/>
        </w:rPr>
        <w:t>El análisis del uso de dispositivos (móvil vs. escritorio) es fundamental para optimizar la experiencia de usuario y garantizar que las plataformas educativas sean accesibles desde diferentes dispositivos según las preferencias y recursos de los estudiantes.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50691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069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Segoe UI Light" w:hAnsi="Segoe UI Light"/>
          <w:b/>
          <w:i/>
          <w:sz w:val="12"/>
        </w:rPr>
        <w:t>Figura 5: Distribución de estudiantes por uso de dispositivos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010"/>
        <w:gridCol w:w="3010"/>
        <w:gridCol w:w="3010"/>
      </w:tblGrid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Dispositivo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Estudiantes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del total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1- Solo Desktop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3632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45.49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2- 80% Desktop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1974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24.72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3- Mixto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1924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24.1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4- 80% Mobile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141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1.77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5- Solo Mobile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313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3.92</w:t>
            </w:r>
          </w:p>
        </w:tc>
      </w:tr>
    </w:tbl>
    <w:p>
      <w:pPr>
        <w:pStyle w:val="Heading2"/>
        <w:spacing w:before="280" w:after="160"/>
        <w:jc w:val="left"/>
        <w:pBdr>
          <w:bottom w:val="single" w:sz="6" w:space="1" w:color="D3D3D3"/>
        </w:pBdr>
      </w:pPr>
      <w:r>
        <w:rPr>
          <w:rFonts w:ascii="Lora" w:hAnsi="Lora"/>
          <w:b/>
          <w:color w:val="4F4F4F"/>
          <w:sz w:val="24"/>
        </w:rPr>
        <w:t>1.3 Análisis de Asistencia</w:t>
      </w:r>
    </w:p>
    <w:p>
      <w:pPr>
        <w:jc w:val="both"/>
      </w:pPr>
      <w:r>
        <w:rPr>
          <w:rFonts w:ascii="Segoe UI Light" w:hAnsi="Segoe UI Light"/>
          <w:sz w:val="16"/>
        </w:rPr>
        <w:t>El proyecto registra un porcentaje de asistencia de los alumnos del 83.89% con un 16.11% de inasistencias.En tanto a los profesores la asistencia es del 91.67% con un 8.33% de inasistencias.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123469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346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</w:pPr>
      <w:r>
        <w:rPr>
          <w:rFonts w:ascii="Segoe UI Light" w:hAnsi="Segoe UI Light"/>
          <w:sz w:val="16"/>
        </w:rPr>
        <w:t>A lo largo del proyecto las asistencias se vieron de la siguiente forma: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49133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913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Segoe UI Light" w:hAnsi="Segoe UI Light"/>
          <w:b/>
          <w:i/>
          <w:sz w:val="12"/>
        </w:rPr>
        <w:t>Figura 6: Evolución de asistencia mensual de alumnos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49133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913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Segoe UI Light" w:hAnsi="Segoe UI Light"/>
          <w:b/>
          <w:i/>
          <w:sz w:val="12"/>
        </w:rPr>
        <w:t>Figura 7: Evolución de asistencia mensual de profesores</w:t>
      </w:r>
    </w:p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1.3.1 Asistencia por Institución Educativa</w:t>
      </w:r>
    </w:p>
    <w:p>
      <w:pPr>
        <w:jc w:val="both"/>
      </w:pPr>
      <w:r>
        <w:rPr>
          <w:rFonts w:ascii="Segoe UI Light" w:hAnsi="Segoe UI Light"/>
          <w:sz w:val="16"/>
        </w:rPr>
        <w:t>A continuación se presenta el porcentaje de asistencia por cada institución educativa participante: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010"/>
        <w:gridCol w:w="3010"/>
        <w:gridCol w:w="3010"/>
      </w:tblGrid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institution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Asistencia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% Falta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María Cano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93.52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6.48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Marie Poussepin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92.79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7.21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Hogar Mariano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92.37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7.63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San Salvador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92.21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7.79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Las Flores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92.14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7.86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Experiencias Pedagógicas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92.11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7.89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Cruzada Social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91.09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8.91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Fundación Pies Descalzos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90.91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9.09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Técnico De Comercio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90.37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9.63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El Campito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89.63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10.37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Evardo Turizo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88.32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11.68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Betania Norte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87.83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12.17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Nueva Granada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87.48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12.52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Reuven Feuerstein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87.35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12.65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Ntra Señora Del Rosario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87.23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12.77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Tierra Santa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87.2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12.8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E.N.S. Del Distrito De Barranquilla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86.23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13.77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Manuel Zapata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85.82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14.18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Brisas Del Río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83.69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16.31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María Inmaculada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79.2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20.8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Alexander Von Humboldt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78.4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21.6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Meira Del Mar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77.38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22.62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E.N.S. La Hacienda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76.15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23.85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San Vicente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72.73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27.27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Comunitaria Metropolitana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72.0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28.0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Villas De San Pablo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70.58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29.42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El Cañahuate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63.07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36.93</w:t>
            </w:r>
          </w:p>
        </w:tc>
      </w:tr>
      <w:tr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Juan José Rondón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61.81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38.19</w:t>
            </w:r>
          </w:p>
        </w:tc>
      </w:tr>
    </w:tbl>
    <w:p>
      <w:pPr>
        <w:pStyle w:val="Heading2"/>
        <w:spacing w:before="280" w:after="160"/>
        <w:jc w:val="left"/>
        <w:pBdr>
          <w:bottom w:val="single" w:sz="6" w:space="1" w:color="D3D3D3"/>
        </w:pBdr>
      </w:pPr>
      <w:r>
        <w:rPr>
          <w:rFonts w:ascii="Lora" w:hAnsi="Lora"/>
          <w:b/>
          <w:color w:val="4F4F4F"/>
          <w:sz w:val="24"/>
        </w:rPr>
        <w:t>1.4 Análisis de Cancelaciones</w:t>
      </w:r>
    </w:p>
    <w:p>
      <w:pPr>
        <w:jc w:val="both"/>
      </w:pPr>
      <w:r>
        <w:rPr>
          <w:rFonts w:ascii="Segoe UI Light" w:hAnsi="Segoe UI Light"/>
          <w:sz w:val="16"/>
        </w:rPr>
        <w:t>Durante el desarrollo del proyecto se programaron un total de 7724 sesiones, de las cuales 1014 fueron canceladas, representando un 13.13% de cancelaciones y un 86.87% de sesiones efectivamente dictadas.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928923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289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1.4.1 Principales motivos de cancelación</w:t>
      </w:r>
    </w:p>
    <w:p>
      <w:pPr>
        <w:jc w:val="both"/>
      </w:pPr>
      <w:r>
        <w:rPr>
          <w:rFonts w:ascii="Segoe UI Light" w:hAnsi="Segoe UI Light"/>
          <w:sz w:val="16"/>
        </w:rPr>
        <w:t>A continuación se presenta el análisis de los 10 principales motivos de cancelación de sesiones: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425324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253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Segoe UI Light" w:hAnsi="Segoe UI Light"/>
          <w:b/>
          <w:i/>
          <w:sz w:val="12"/>
        </w:rPr>
        <w:t>Figura 8: Top 10 motivos de cancelación de sesiones</w:t>
      </w:r>
    </w:p>
    <w:p>
      <w:pPr>
        <w:pStyle w:val="Heading3"/>
        <w:spacing w:before="200" w:after="80"/>
        <w:jc w:val="left"/>
      </w:pPr>
      <w:r>
        <w:rPr>
          <w:rFonts w:ascii="Lora" w:hAnsi="Lora"/>
          <w:i/>
          <w:color w:val="4F4F4F"/>
          <w:sz w:val="22"/>
        </w:rPr>
        <w:t>1.4.2 Cancelaciones por Institución Educativa</w:t>
      </w:r>
    </w:p>
    <w:p>
      <w:pPr>
        <w:jc w:val="both"/>
      </w:pPr>
      <w:r>
        <w:rPr>
          <w:rFonts w:ascii="Segoe UI Light" w:hAnsi="Segoe UI Light"/>
          <w:sz w:val="16"/>
        </w:rPr>
        <w:t>El siguiente análisis muestra las instituciones educativas con mayor número de sesiones canceladas: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514"/>
        <w:gridCol w:w="4514"/>
      </w:tblGrid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Institución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Sesiones canceladas</w:t>
            </w:r>
          </w:p>
        </w:tc>
      </w:tr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E.N.S. La Hacienda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111</w:t>
            </w:r>
          </w:p>
        </w:tc>
      </w:tr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Villas De San Pablo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103</w:t>
            </w:r>
          </w:p>
        </w:tc>
      </w:tr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Meira Del Mar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82</w:t>
            </w:r>
          </w:p>
        </w:tc>
      </w:tr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El Campito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66</w:t>
            </w:r>
          </w:p>
        </w:tc>
      </w:tr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E.N.S. Del Distrito De Barranquilla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56</w:t>
            </w:r>
          </w:p>
        </w:tc>
      </w:tr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Nueva Granada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52</w:t>
            </w:r>
          </w:p>
        </w:tc>
      </w:tr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Hogar Mariano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51</w:t>
            </w:r>
          </w:p>
        </w:tc>
      </w:tr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Técnico De Comercio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45</w:t>
            </w:r>
          </w:p>
        </w:tc>
      </w:tr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Betania Norte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45</w:t>
            </w:r>
          </w:p>
        </w:tc>
      </w:tr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Marie Poussepin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42</w:t>
            </w:r>
          </w:p>
        </w:tc>
      </w:tr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María Inmaculada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41</w:t>
            </w:r>
          </w:p>
        </w:tc>
      </w:tr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Alexander Von Humboldt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</w:t>
            </w:r>
          </w:p>
        </w:tc>
      </w:tr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Cruzada Social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</w:t>
            </w:r>
          </w:p>
        </w:tc>
      </w:tr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Comunitaria Metropolitana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34</w:t>
            </w:r>
          </w:p>
        </w:tc>
      </w:tr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Fundación Pies Descalzos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24</w:t>
            </w:r>
          </w:p>
        </w:tc>
      </w:tr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Reuven Feuerstein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24</w:t>
            </w:r>
          </w:p>
        </w:tc>
      </w:tr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Brisas Del Río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23</w:t>
            </w:r>
          </w:p>
        </w:tc>
      </w:tr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Juan José Rondón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21</w:t>
            </w:r>
          </w:p>
        </w:tc>
      </w:tr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Evardo Turizo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19</w:t>
            </w:r>
          </w:p>
        </w:tc>
      </w:tr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Manuel Zapata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16</w:t>
            </w:r>
          </w:p>
        </w:tc>
      </w:tr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Experiencias Pedagógicas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15</w:t>
            </w:r>
          </w:p>
        </w:tc>
      </w:tr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El Cañahuate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14</w:t>
            </w:r>
          </w:p>
        </w:tc>
      </w:tr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Ntra Señora Del Rosario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14</w:t>
            </w:r>
          </w:p>
        </w:tc>
      </w:tr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San Vicente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13</w:t>
            </w:r>
          </w:p>
        </w:tc>
      </w:tr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Las Flores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</w:t>
            </w:r>
          </w:p>
        </w:tc>
      </w:tr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María Cano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</w:t>
            </w:r>
          </w:p>
        </w:tc>
      </w:tr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Tierra Santa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</w:t>
            </w:r>
          </w:p>
        </w:tc>
      </w:tr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I.E.D. San Salvador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</w:t>
            </w:r>
          </w:p>
        </w:tc>
      </w:tr>
    </w:tbl>
    <w:p>
      <w:r>
        <w:br w:type="page"/>
      </w:r>
    </w:p>
    <w:p>
      <w:pPr>
        <w:pStyle w:val="Heading1"/>
        <w:spacing w:before="360" w:after="240"/>
        <w:jc w:val="center"/>
        <w:pBdr>
          <w:bottom w:val="single" w:sz="8" w:space="1" w:color="2E3F5F"/>
        </w:pBdr>
      </w:pPr>
      <w:r>
        <w:rPr>
          <w:rFonts w:ascii="Lora" w:hAnsi="Lora"/>
          <w:b/>
          <w:color w:val="2E3F5F"/>
          <w:sz w:val="28"/>
        </w:rPr>
        <w:t>2. DOCUMENTOS ADJUNTOS</w:t>
      </w:r>
    </w:p>
    <w:p>
      <w:pPr>
        <w:pStyle w:val="Heading2"/>
        <w:spacing w:before="280" w:after="160"/>
        <w:jc w:val="left"/>
        <w:pBdr>
          <w:bottom w:val="single" w:sz="6" w:space="1" w:color="D3D3D3"/>
        </w:pBdr>
      </w:pPr>
      <w:r>
        <w:rPr>
          <w:rFonts w:ascii="Lora" w:hAnsi="Lora"/>
          <w:b/>
          <w:color w:val="4F4F4F"/>
          <w:sz w:val="24"/>
        </w:rPr>
        <w:t>2.1 Motivos de Cancelación</w:t>
      </w:r>
    </w:p>
    <w:p>
      <w:pPr>
        <w:jc w:val="both"/>
      </w:pPr>
      <w:r>
        <w:rPr>
          <w:rFonts w:ascii="Segoe UI Light" w:hAnsi="Segoe UI Light"/>
          <w:sz w:val="16"/>
        </w:rPr>
        <w:t>A continuación se presenta el análisis de los motivos de cancelación de sesiones: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514"/>
        <w:gridCol w:w="4514"/>
      </w:tblGrid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Motivo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rFonts w:ascii="Segoe UI Light" w:hAnsi="Segoe UI Light"/>
                <w:b/>
                <w:sz w:val="13"/>
              </w:rPr>
              <w:t>Sesiones canceladas</w:t>
            </w:r>
          </w:p>
        </w:tc>
      </w:tr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Protestas o paros sindicales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124</w:t>
            </w:r>
          </w:p>
        </w:tc>
      </w:tr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Ausencia del profesor - IE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116</w:t>
            </w:r>
          </w:p>
        </w:tc>
      </w:tr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Ausencia de los estudiantes por eventos del colegio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102</w:t>
            </w:r>
          </w:p>
        </w:tc>
      </w:tr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Simulacro o toma definitiva de pruebas de estado - IE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99</w:t>
            </w:r>
          </w:p>
        </w:tc>
      </w:tr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Problemas de internet - IE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96</w:t>
            </w:r>
          </w:p>
        </w:tc>
      </w:tr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No hay clases en la IE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69</w:t>
            </w:r>
          </w:p>
        </w:tc>
      </w:tr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Acto Cívico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69</w:t>
            </w:r>
          </w:p>
        </w:tc>
      </w:tr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Cambio de horario de clases por parte de IE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60</w:t>
            </w:r>
          </w:p>
        </w:tc>
      </w:tr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Entrega de Informes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48</w:t>
            </w:r>
          </w:p>
        </w:tc>
      </w:tr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Imposibilidad de uso del aula tecnológica IE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</w:t>
            </w:r>
          </w:p>
        </w:tc>
      </w:tr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Actividades docentes en horario de clase con CTC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36</w:t>
            </w:r>
          </w:p>
        </w:tc>
      </w:tr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Actividad Deportiva en toda la IE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33</w:t>
            </w:r>
          </w:p>
        </w:tc>
      </w:tr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Problemas técnicos - IE (computadoras, proyector, altavoces)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24</w:t>
            </w:r>
          </w:p>
        </w:tc>
      </w:tr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Salida mas temprano del colegio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13</w:t>
            </w:r>
          </w:p>
        </w:tc>
      </w:tr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Corte de luz - IE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13</w:t>
            </w:r>
          </w:p>
        </w:tc>
      </w:tr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Acto religioso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13</w:t>
            </w:r>
          </w:p>
        </w:tc>
      </w:tr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Problemas de salud - IE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</w:t>
            </w:r>
          </w:p>
        </w:tc>
      </w:tr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Dia compensatorio para docentes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9</w:t>
            </w:r>
          </w:p>
        </w:tc>
      </w:tr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Convivencia Escolar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</w:t>
            </w:r>
          </w:p>
        </w:tc>
      </w:tr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Problemas de internet - CTC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</w:t>
            </w:r>
          </w:p>
        </w:tc>
      </w:tr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Motivo desconocido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8</w:t>
            </w:r>
          </w:p>
        </w:tc>
      </w:tr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Ausencia del profesor - CTC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7</w:t>
            </w:r>
          </w:p>
        </w:tc>
      </w:tr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Inicio de clases atrasado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6</w:t>
            </w:r>
          </w:p>
        </w:tc>
      </w:tr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Condiciones climáticas que imposibilitan la asistencia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4</w:t>
            </w:r>
          </w:p>
        </w:tc>
      </w:tr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Otro motivo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2</w:t>
            </w:r>
          </w:p>
        </w:tc>
      </w:tr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Corte de luz - CTC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</w:t>
            </w:r>
          </w:p>
        </w:tc>
      </w:tr>
      <w:tr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Problemas técnicos - CTC (computadora, micrófono)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</w:pPr>
            <w:r>
              <w:rPr>
                <w:sz w:val="14"/>
              </w:rPr>
              <w:t>1</w:t>
            </w:r>
          </w:p>
        </w:tc>
      </w:tr>
    </w:tbl>
    <w:sectPr w:rsidR="00FC693F" w:rsidRPr="0006063C" w:rsidSect="00034616">
      <w:pgSz w:w="11909" w:h="1683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