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B32B9" w14:textId="77777777" w:rsidR="002F6F1E" w:rsidRDefault="002F6F1E" w:rsidP="002F6F1E">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Diētas pieteikums plānveida stacionārā</w:t>
      </w:r>
    </w:p>
    <w:p w14:paraId="1605CA29" w14:textId="77777777" w:rsidR="002F6F1E" w:rsidRDefault="002F6F1E" w:rsidP="002F6F1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Problēmas izpēte un analīze</w:t>
      </w:r>
    </w:p>
    <w:p w14:paraId="7729508C" w14:textId="77777777" w:rsidR="002F6F1E" w:rsidRDefault="002F6F1E" w:rsidP="002F6F1E">
      <w:pPr>
        <w:spacing w:after="0" w:line="240" w:lineRule="auto"/>
        <w:rPr>
          <w:rFonts w:ascii="Times New Roman" w:hAnsi="Times New Roman" w:cs="Times New Roman"/>
        </w:rPr>
      </w:pPr>
      <w:r>
        <w:rPr>
          <w:rFonts w:ascii="Times New Roman" w:hAnsi="Times New Roman" w:cs="Times New Roman"/>
        </w:rPr>
        <w:t>Ēdināšanas dienests apkalpo vidēji 150–200 pacientus dienā. Bērnu klīniskajā universitātes slimnīcā ir pieejamas astoņas diētu veidu kategorijas:</w:t>
      </w:r>
    </w:p>
    <w:p w14:paraId="0703F9E8" w14:textId="77777777" w:rsidR="002F6F1E" w:rsidRDefault="002F6F1E" w:rsidP="002F6F1E">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Vispārīgā diēta</w:t>
      </w:r>
    </w:p>
    <w:p w14:paraId="3E96F440" w14:textId="77777777" w:rsidR="002F6F1E" w:rsidRDefault="002F6F1E" w:rsidP="002F6F1E">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Diēta mātēm (Vispārīgā diēta)</w:t>
      </w:r>
    </w:p>
    <w:p w14:paraId="40251337" w14:textId="77777777" w:rsidR="002F6F1E" w:rsidRDefault="002F6F1E" w:rsidP="002F6F1E">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Saudzējošā diēta jeb “S” diēta</w:t>
      </w:r>
    </w:p>
    <w:p w14:paraId="695F0842" w14:textId="77777777" w:rsidR="002F6F1E" w:rsidRDefault="002F6F1E" w:rsidP="002F6F1E">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Saudzējošā diēta blenderētā formā jeb “Smix” diēta</w:t>
      </w:r>
    </w:p>
    <w:p w14:paraId="7DCCBFAA" w14:textId="77777777" w:rsidR="002F6F1E" w:rsidRDefault="002F6F1E" w:rsidP="002F6F1E">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D – diabēta diēta</w:t>
      </w:r>
    </w:p>
    <w:p w14:paraId="32E1C7FB" w14:textId="77777777" w:rsidR="002F6F1E" w:rsidRDefault="002F6F1E" w:rsidP="002F6F1E">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N – diēta ar paaugstinātu olbaltumvielu daudzumu</w:t>
      </w:r>
    </w:p>
    <w:p w14:paraId="1AC1BF54" w14:textId="77777777" w:rsidR="002F6F1E" w:rsidRDefault="002F6F1E" w:rsidP="002F6F1E">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C – celiakijas diēta</w:t>
      </w:r>
    </w:p>
    <w:p w14:paraId="15D5B683" w14:textId="77777777" w:rsidR="002F6F1E" w:rsidRDefault="002F6F1E" w:rsidP="002F6F1E">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Individuālie pieprasījumi.</w:t>
      </w:r>
    </w:p>
    <w:p w14:paraId="42C76D85" w14:textId="77777777" w:rsidR="002F6F1E" w:rsidRDefault="002F6F1E" w:rsidP="002F6F1E">
      <w:pPr>
        <w:spacing w:after="0" w:line="240" w:lineRule="auto"/>
        <w:jc w:val="both"/>
        <w:rPr>
          <w:rFonts w:ascii="Times New Roman" w:hAnsi="Times New Roman" w:cs="Times New Roman"/>
        </w:rPr>
      </w:pPr>
      <w:r>
        <w:rPr>
          <w:rFonts w:ascii="Times New Roman" w:hAnsi="Times New Roman" w:cs="Times New Roman"/>
        </w:rPr>
        <w:t>Vispārīgā diēta slimnīcās tiek nozīmēta visbiežāk un paredzēta pacientiem, kuriem nav noteikta specifiska uztura terapija. Tā sastāv no četrām ēdienreizēm — brokastīm, pusdienām, launaga un vakariņām. Šī diēta ietver visas produktu grupas, nodrošinot plašu produktu daudzveidību, kas ar uztura speciālista sastādītās ēdienkartes palīdzību nodrošina pilnvērtīgu un sabalansētu uzturu.</w:t>
      </w:r>
    </w:p>
    <w:p w14:paraId="77C16E6A" w14:textId="77777777" w:rsidR="002F6F1E" w:rsidRDefault="002F6F1E" w:rsidP="002F6F1E">
      <w:pPr>
        <w:spacing w:after="0" w:line="240" w:lineRule="auto"/>
        <w:jc w:val="both"/>
        <w:rPr>
          <w:rFonts w:ascii="Times New Roman" w:hAnsi="Times New Roman" w:cs="Times New Roman"/>
        </w:rPr>
      </w:pPr>
    </w:p>
    <w:p w14:paraId="52B5D650" w14:textId="77777777" w:rsidR="002F6F1E" w:rsidRDefault="002F6F1E" w:rsidP="002F6F1E">
      <w:pPr>
        <w:spacing w:after="0" w:line="240" w:lineRule="auto"/>
        <w:jc w:val="both"/>
        <w:rPr>
          <w:rFonts w:ascii="Times New Roman" w:hAnsi="Times New Roman" w:cs="Times New Roman"/>
        </w:rPr>
      </w:pPr>
      <w:r>
        <w:rPr>
          <w:rFonts w:ascii="Times New Roman" w:hAnsi="Times New Roman" w:cs="Times New Roman"/>
        </w:rPr>
        <w:t>Saudzējošās diētas pamatā ir viegli sagremojami ēdieni ar maigu tekstūru, kur augļi un ogas tiek termiski apstrādāti, nevis pasniegti svaigā veidā. Šī diēta parasti tiek nozīmēta pacientiem ar kuņģa-zarnu trakta slimībām, pēc operācijām, kā arī simptomiem, kas saistīti ar staru vai ķīmijterapiju, piemēram, zarnu darbības traucējumiem un mutes dobuma jūtīgumu.</w:t>
      </w:r>
    </w:p>
    <w:p w14:paraId="24EB9401" w14:textId="77777777" w:rsidR="002F6F1E" w:rsidRDefault="002F6F1E" w:rsidP="002F6F1E">
      <w:pPr>
        <w:spacing w:after="0" w:line="240" w:lineRule="auto"/>
        <w:jc w:val="both"/>
        <w:rPr>
          <w:rFonts w:ascii="Times New Roman" w:hAnsi="Times New Roman" w:cs="Times New Roman"/>
        </w:rPr>
      </w:pPr>
      <w:r>
        <w:rPr>
          <w:rFonts w:ascii="Times New Roman" w:hAnsi="Times New Roman" w:cs="Times New Roman"/>
        </w:rPr>
        <w:br/>
        <w:t>Saudzējošā diēta iedalās divos variantos: “S” variants (gabalu ēdiens) un “Smix” variants (blenderētā forma vai šķidrākas konsistences). Tāpat kā vispārējā diēta, tā sastāv no trīs pamatēdienreizēm un launaga.</w:t>
      </w:r>
    </w:p>
    <w:p w14:paraId="7C99B523" w14:textId="77777777" w:rsidR="002F6F1E" w:rsidRDefault="002F6F1E" w:rsidP="002F6F1E">
      <w:pPr>
        <w:spacing w:after="0" w:line="240" w:lineRule="auto"/>
        <w:jc w:val="both"/>
        <w:rPr>
          <w:rFonts w:ascii="Times New Roman" w:hAnsi="Times New Roman" w:cs="Times New Roman"/>
        </w:rPr>
      </w:pPr>
      <w:r>
        <w:rPr>
          <w:rFonts w:ascii="Times New Roman" w:hAnsi="Times New Roman" w:cs="Times New Roman"/>
        </w:rPr>
        <w:t>“N” diēta ir diēta ar paaugstinātu olbaltumvielu daudzumu. Šāda diēta tiek nozīmēta pacientiem ar nieru slimībām (uztura speciālists koriģē olbaltumvielu daudzumu atkarībā no slimības stadijas), plaušu slimībām vai olbaltumvielu malnutrīciju. Šī diēta sastāv no trīs pamatēdienreizēm un divām uzkodām.</w:t>
      </w:r>
    </w:p>
    <w:p w14:paraId="2FC70A8F" w14:textId="77777777" w:rsidR="002F6F1E" w:rsidRDefault="002F6F1E" w:rsidP="002F6F1E">
      <w:pPr>
        <w:spacing w:after="0" w:line="240" w:lineRule="auto"/>
        <w:jc w:val="both"/>
        <w:rPr>
          <w:rFonts w:ascii="Times New Roman" w:hAnsi="Times New Roman" w:cs="Times New Roman"/>
        </w:rPr>
      </w:pPr>
    </w:p>
    <w:p w14:paraId="01ECD9C2" w14:textId="77777777" w:rsidR="002F6F1E" w:rsidRDefault="002F6F1E" w:rsidP="002F6F1E">
      <w:pPr>
        <w:spacing w:after="0" w:line="240" w:lineRule="auto"/>
        <w:jc w:val="both"/>
        <w:rPr>
          <w:rFonts w:ascii="Times New Roman" w:hAnsi="Times New Roman" w:cs="Times New Roman"/>
        </w:rPr>
      </w:pPr>
      <w:r>
        <w:rPr>
          <w:rFonts w:ascii="Times New Roman" w:hAnsi="Times New Roman" w:cs="Times New Roman"/>
        </w:rPr>
        <w:t>Diabētiskā diēta ir paredzēta pacientiem ar cukura diabētu. Tajā tiek izmantoti saliktie ogļhidrāti bez pievienota cukura vai miltiem, īpaša uzmanība tiek pievērsta ogļhidrātu skaitīšanai. Diēta sastāv no trīs pamatēdienreizēm un uzkodu komplekta.</w:t>
      </w:r>
    </w:p>
    <w:p w14:paraId="766A97BA" w14:textId="77777777" w:rsidR="002F6F1E" w:rsidRDefault="002F6F1E" w:rsidP="002F6F1E">
      <w:pPr>
        <w:spacing w:after="0" w:line="240" w:lineRule="auto"/>
        <w:jc w:val="both"/>
        <w:rPr>
          <w:rFonts w:ascii="Times New Roman" w:hAnsi="Times New Roman" w:cs="Times New Roman"/>
        </w:rPr>
      </w:pPr>
    </w:p>
    <w:p w14:paraId="724BB9E0" w14:textId="77777777" w:rsidR="002F6F1E" w:rsidRDefault="002F6F1E" w:rsidP="002F6F1E">
      <w:pPr>
        <w:spacing w:after="0" w:line="240" w:lineRule="auto"/>
        <w:jc w:val="both"/>
        <w:rPr>
          <w:rFonts w:ascii="Times New Roman" w:hAnsi="Times New Roman" w:cs="Times New Roman"/>
        </w:rPr>
      </w:pPr>
      <w:r>
        <w:rPr>
          <w:rFonts w:ascii="Times New Roman" w:hAnsi="Times New Roman" w:cs="Times New Roman"/>
        </w:rPr>
        <w:t>Celiakijas diēta ir līdzīga vispārējai diētai, taču tā nesatur glutēnu saturošus produktus. Papildus noteiktajām diētām ir pieejami arī individuāli pieprasījumi, piemēram, ja pacientam ir specifiskas alerģijas. Visizplatītākie pārtikas alergēni ir piena produkti, olas, vēžveidīgie, sojas pupiņas, zivis, zemesrieksti, rieksti un kvieši.</w:t>
      </w:r>
    </w:p>
    <w:p w14:paraId="5E26A828" w14:textId="77777777" w:rsidR="002F6F1E" w:rsidRDefault="002F6F1E" w:rsidP="002F6F1E">
      <w:pPr>
        <w:spacing w:after="0" w:line="240" w:lineRule="auto"/>
        <w:jc w:val="both"/>
        <w:rPr>
          <w:rFonts w:ascii="Times New Roman" w:hAnsi="Times New Roman" w:cs="Times New Roman"/>
        </w:rPr>
      </w:pPr>
    </w:p>
    <w:p w14:paraId="0C0DE206" w14:textId="77777777" w:rsidR="002F6F1E" w:rsidRDefault="002F6F1E" w:rsidP="002F6F1E">
      <w:pPr>
        <w:spacing w:after="0" w:line="240" w:lineRule="auto"/>
        <w:jc w:val="both"/>
        <w:rPr>
          <w:rFonts w:ascii="Times New Roman" w:hAnsi="Times New Roman" w:cs="Times New Roman"/>
        </w:rPr>
      </w:pPr>
      <w:r>
        <w:rPr>
          <w:rFonts w:ascii="Times New Roman" w:hAnsi="Times New Roman" w:cs="Times New Roman"/>
        </w:rPr>
        <w:t>Pārtikas hipersensibilizācijas hiperdiagnostika ir bieža parādība. Šādus gadījumus nevar automatizēt pilnībā, jo katrs gadījums tiek izskatīts individuāli. Nepareizi uztura ierobežojumi, kas izraisa uzturvielu deficītu, negatīvi ietekmē bērna augšanu un attīstību. Tajā pašā laikā sūdzības nedrīkst ignorēt, jo alerģiskās pārtikas hipersensibilizācijas reakcijas var skart vairākas orgānu sistēmas, piemēram, elpošanas sistēmu, gremošanas sistēmu un ādu. Smagākos gadījumos šīs reakcijas var izraisīt anafilaktisko šoku un pat nāvi.</w:t>
      </w:r>
    </w:p>
    <w:p w14:paraId="0BA4AB58" w14:textId="77777777" w:rsidR="002F6F1E" w:rsidRDefault="002F6F1E" w:rsidP="002F6F1E">
      <w:pPr>
        <w:spacing w:after="0" w:line="240" w:lineRule="auto"/>
        <w:jc w:val="both"/>
        <w:rPr>
          <w:rFonts w:ascii="Times New Roman" w:hAnsi="Times New Roman" w:cs="Times New Roman"/>
        </w:rPr>
      </w:pPr>
      <w:r>
        <w:rPr>
          <w:rFonts w:ascii="Times New Roman" w:hAnsi="Times New Roman" w:cs="Times New Roman"/>
        </w:rPr>
        <w:t>Lai ārstējošajam ārstam sniegtu atbalstu diētas piemērošanā un ēdināšanas dienestam nodrošinātu provizorisku diētu apjomu, iespējama sekojoša procesu automatizācija.</w:t>
      </w:r>
    </w:p>
    <w:p w14:paraId="474DF40F" w14:textId="77777777" w:rsidR="002F6F1E" w:rsidRDefault="002F6F1E" w:rsidP="002F6F1E">
      <w:pPr>
        <w:spacing w:after="0" w:line="240" w:lineRule="auto"/>
        <w:jc w:val="both"/>
        <w:rPr>
          <w:rFonts w:ascii="Times New Roman" w:hAnsi="Times New Roman" w:cs="Times New Roman"/>
        </w:rPr>
      </w:pPr>
      <w:r>
        <w:rPr>
          <w:rFonts w:ascii="Times New Roman" w:hAnsi="Times New Roman" w:cs="Times New Roman"/>
        </w:rPr>
        <w:t xml:space="preserve">Pacients autentificējas izmantojot savu vārdu, uzvārdu un personas kodu (gadījumā, ja piešķirts jaunais personas kods, kas nesatur dzimšanas datumu, tiek piedāvāta iespēja ievadīt dzimšanas datumu, lai noteiktu pacienta vecumu): </w:t>
      </w:r>
    </w:p>
    <w:p w14:paraId="1498B9EB" w14:textId="4B187869" w:rsidR="002F6F1E" w:rsidRDefault="002F6F1E" w:rsidP="002F6F1E">
      <w:pPr>
        <w:spacing w:after="0" w:line="240" w:lineRule="auto"/>
        <w:jc w:val="both"/>
        <w:rPr>
          <w:rFonts w:ascii="Times New Roman" w:hAnsi="Times New Roman" w:cs="Times New Roman"/>
        </w:rPr>
      </w:pPr>
      <w:r>
        <w:rPr>
          <w:rFonts w:ascii="Times New Roman" w:hAnsi="Times New Roman" w:cs="Times New Roman"/>
          <w:noProof/>
          <w:sz w:val="24"/>
          <w:szCs w:val="24"/>
        </w:rPr>
        <w:lastRenderedPageBreak/>
        <w:drawing>
          <wp:inline distT="0" distB="0" distL="0" distR="0" wp14:anchorId="2DCFE03D" wp14:editId="305B8CC7">
            <wp:extent cx="5267325" cy="3114675"/>
            <wp:effectExtent l="0" t="0" r="9525" b="9525"/>
            <wp:docPr id="120026432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7325" cy="3114675"/>
                    </a:xfrm>
                    <a:prstGeom prst="rect">
                      <a:avLst/>
                    </a:prstGeom>
                    <a:noFill/>
                    <a:ln>
                      <a:noFill/>
                    </a:ln>
                  </pic:spPr>
                </pic:pic>
              </a:graphicData>
            </a:graphic>
          </wp:inline>
        </w:drawing>
      </w:r>
    </w:p>
    <w:p w14:paraId="42213760" w14:textId="77777777" w:rsidR="002F6F1E" w:rsidRDefault="002F6F1E" w:rsidP="002F6F1E">
      <w:pPr>
        <w:spacing w:after="0" w:line="240" w:lineRule="auto"/>
        <w:jc w:val="both"/>
        <w:rPr>
          <w:rFonts w:ascii="Times New Roman" w:hAnsi="Times New Roman" w:cs="Times New Roman"/>
        </w:rPr>
      </w:pPr>
      <w:r>
        <w:rPr>
          <w:rFonts w:ascii="Times New Roman" w:hAnsi="Times New Roman" w:cs="Times New Roman"/>
        </w:rPr>
        <w:t>Pacientam vai viņa vecākam (vai aizbildnim) nodrošināta iespēja norādīt specifiskus uztura ierobezojumus un indikācijas. Tiek izmantots algoritms, kas pielāgo diētu, balstoties uz ievadīto informāciju.</w:t>
      </w:r>
    </w:p>
    <w:p w14:paraId="0F5630E6" w14:textId="77777777" w:rsidR="002F6F1E" w:rsidRDefault="002F6F1E" w:rsidP="002F6F1E">
      <w:pPr>
        <w:spacing w:after="0" w:line="240" w:lineRule="auto"/>
        <w:jc w:val="both"/>
        <w:rPr>
          <w:rFonts w:ascii="Times New Roman" w:hAnsi="Times New Roman" w:cs="Times New Roman"/>
        </w:rPr>
      </w:pPr>
    </w:p>
    <w:p w14:paraId="789EA4EB" w14:textId="77777777" w:rsidR="002F6F1E" w:rsidRDefault="002F6F1E" w:rsidP="002F6F1E">
      <w:pPr>
        <w:spacing w:after="0" w:line="240" w:lineRule="auto"/>
        <w:jc w:val="both"/>
        <w:rPr>
          <w:rFonts w:ascii="Times New Roman" w:hAnsi="Times New Roman" w:cs="Times New Roman"/>
        </w:rPr>
      </w:pPr>
      <w:r>
        <w:rPr>
          <w:rFonts w:ascii="Times New Roman" w:hAnsi="Times New Roman" w:cs="Times New Roman"/>
        </w:rPr>
        <w:t>Ja netiek atzīmēts nekas, pacientam tiek piešķirta “Vispārējā diēta”.</w:t>
      </w:r>
    </w:p>
    <w:p w14:paraId="7929C281" w14:textId="77777777" w:rsidR="002F6F1E" w:rsidRDefault="002F6F1E" w:rsidP="002F6F1E">
      <w:pPr>
        <w:spacing w:after="0" w:line="240" w:lineRule="auto"/>
        <w:jc w:val="both"/>
        <w:rPr>
          <w:rFonts w:ascii="Times New Roman" w:hAnsi="Times New Roman" w:cs="Times New Roman"/>
        </w:rPr>
      </w:pPr>
      <w:r>
        <w:rPr>
          <w:rFonts w:ascii="Times New Roman" w:hAnsi="Times New Roman" w:cs="Times New Roman"/>
        </w:rPr>
        <w:t>Ja tiek atzīmēts tikai “Cukura diabēts” – pacientam tiek piešķirta diēta “D – diabēta diēta”.</w:t>
      </w:r>
    </w:p>
    <w:p w14:paraId="5217C7DF" w14:textId="77777777" w:rsidR="002F6F1E" w:rsidRDefault="002F6F1E" w:rsidP="002F6F1E">
      <w:pPr>
        <w:spacing w:after="0" w:line="240" w:lineRule="auto"/>
        <w:jc w:val="both"/>
        <w:rPr>
          <w:rFonts w:ascii="Times New Roman" w:hAnsi="Times New Roman" w:cs="Times New Roman"/>
        </w:rPr>
      </w:pPr>
      <w:r>
        <w:rPr>
          <w:rFonts w:ascii="Times New Roman" w:hAnsi="Times New Roman" w:cs="Times New Roman"/>
        </w:rPr>
        <w:t>Ja netiek norādītas specifiskas prasības, pacientam tiek piešķirta "Vispārējā diēta". Ja tiek atzīmēts tikai "Cukura diabēts", pacientam tiek piešķirta "D – diabēta diēta". Ja pacientam ir "Kuņģa-zarnu trakta slimība" vai kāds no simptomiem "sāpes vēderā, caureja, slikta dūša, vemšana", "Plānota operācija", "Plānota ķīmijterapija vai staru terapija", vai vairākas no šīm izvēlēm, tad pacientam tiek piešķirta "S – saudzējošā diēta". Ja tiek atzīmēts "Sāpes vai grūtības košļāt vai norīt", vai šī pazīme kombinācijā ar citiem simptomiem, tad tiek piešķirta "Smix – saudzējošās diētas blenderētā forma".</w:t>
      </w:r>
    </w:p>
    <w:p w14:paraId="755B9D56" w14:textId="77777777" w:rsidR="002F6F1E" w:rsidRDefault="002F6F1E" w:rsidP="002F6F1E">
      <w:pPr>
        <w:spacing w:after="0" w:line="240" w:lineRule="auto"/>
        <w:jc w:val="both"/>
        <w:rPr>
          <w:rFonts w:ascii="Times New Roman" w:hAnsi="Times New Roman" w:cs="Times New Roman"/>
        </w:rPr>
      </w:pPr>
      <w:r>
        <w:rPr>
          <w:rFonts w:ascii="Times New Roman" w:hAnsi="Times New Roman" w:cs="Times New Roman"/>
        </w:rPr>
        <w:t>Ja atzīmēta "Nieru slimība" vai "Plaušu slimība", pacientam tiek piešķirta "N – diēta ar paaugstinātu olbaltumvielu daudzumu". Ja tiek atzīmēta "Celiakija", pacientam tiek piešķirta "C – celiakijas diēta".</w:t>
      </w:r>
    </w:p>
    <w:p w14:paraId="56AFD896" w14:textId="77777777" w:rsidR="002F6F1E" w:rsidRDefault="002F6F1E" w:rsidP="002F6F1E">
      <w:pPr>
        <w:spacing w:after="0" w:line="240" w:lineRule="auto"/>
        <w:jc w:val="both"/>
        <w:rPr>
          <w:rFonts w:ascii="Times New Roman" w:hAnsi="Times New Roman" w:cs="Times New Roman"/>
        </w:rPr>
      </w:pPr>
      <w:r>
        <w:rPr>
          <w:rFonts w:ascii="Times New Roman" w:hAnsi="Times New Roman" w:cs="Times New Roman"/>
        </w:rPr>
        <w:t>Ja laukā "Uztura ierobežojumi" ir norādīta kāda informācija, bet nav atzīmēta neviena no indikācijām, pacientam tiek piešķirta vispārējā diēta, papildus ņemot vērā norādītos uztura ierobežojumus, piemēram, "V – govs piena alerģija", ja laukā "Uztura ierobežojumi" būtu norādīts "govs piena alerģija".</w:t>
      </w:r>
    </w:p>
    <w:p w14:paraId="3314E582" w14:textId="792AB276" w:rsidR="002F6F1E" w:rsidRDefault="002F6F1E" w:rsidP="002F6F1E">
      <w:pPr>
        <w:spacing w:after="0" w:line="240" w:lineRule="auto"/>
        <w:jc w:val="both"/>
        <w:rPr>
          <w:rFonts w:ascii="Times New Roman" w:hAnsi="Times New Roman" w:cs="Times New Roman"/>
        </w:rPr>
      </w:pPr>
      <w:r>
        <w:rPr>
          <w:rFonts w:ascii="Times New Roman" w:hAnsi="Times New Roman" w:cs="Times New Roman"/>
          <w:noProof/>
          <w:sz w:val="24"/>
          <w:szCs w:val="24"/>
        </w:rPr>
        <w:drawing>
          <wp:inline distT="0" distB="0" distL="0" distR="0" wp14:anchorId="1ADA40DB" wp14:editId="6C87C9F4">
            <wp:extent cx="5276850" cy="2886075"/>
            <wp:effectExtent l="0" t="0" r="0" b="9525"/>
            <wp:docPr id="55811688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6850" cy="2886075"/>
                    </a:xfrm>
                    <a:prstGeom prst="rect">
                      <a:avLst/>
                    </a:prstGeom>
                    <a:noFill/>
                    <a:ln>
                      <a:noFill/>
                    </a:ln>
                  </pic:spPr>
                </pic:pic>
              </a:graphicData>
            </a:graphic>
          </wp:inline>
        </w:drawing>
      </w:r>
    </w:p>
    <w:p w14:paraId="43B57F19" w14:textId="77777777" w:rsidR="002F6F1E" w:rsidRDefault="002F6F1E" w:rsidP="002F6F1E">
      <w:pPr>
        <w:spacing w:after="0" w:line="240" w:lineRule="auto"/>
        <w:jc w:val="both"/>
        <w:rPr>
          <w:rFonts w:ascii="Times New Roman" w:hAnsi="Times New Roman" w:cs="Times New Roman"/>
        </w:rPr>
      </w:pPr>
      <w:r>
        <w:rPr>
          <w:rFonts w:ascii="Times New Roman" w:hAnsi="Times New Roman" w:cs="Times New Roman"/>
        </w:rPr>
        <w:lastRenderedPageBreak/>
        <w:t>Nākamajā cilnē pacients aizpilda kādus pārtikas produktus viņš ikdienā lieto bieži, reti vai vispār nelieto. Šī sadaļa ir elektronizēta izmantojot Latvijas Diētas un Uztura Speciālistu asociācijas (LDUSA) valdes sēdē apstiprināto uztura speciālista konsultācijas protokolu bērniem. Izmantojot šo sadaļu, uztura speciālistam, sastādot individuālo uztura plānu, ir vieglāk izprast pacienta uztura paradumus. Pacienta aizpildīto protokolu varētu izmantot arī uztura speciālista konsultācijas laikā.</w:t>
      </w:r>
    </w:p>
    <w:p w14:paraId="24D9B7E0" w14:textId="2BBA993B" w:rsidR="002F6F1E" w:rsidRDefault="002F6F1E" w:rsidP="002F6F1E">
      <w:pPr>
        <w:spacing w:after="0" w:line="240" w:lineRule="auto"/>
        <w:jc w:val="center"/>
        <w:rPr>
          <w:rFonts w:ascii="Times New Roman" w:hAnsi="Times New Roman" w:cs="Times New Roman"/>
        </w:rPr>
      </w:pPr>
      <w:r>
        <w:rPr>
          <w:rFonts w:ascii="Times New Roman" w:hAnsi="Times New Roman" w:cs="Times New Roman"/>
          <w:noProof/>
          <w:sz w:val="24"/>
          <w:szCs w:val="24"/>
        </w:rPr>
        <w:drawing>
          <wp:inline distT="0" distB="0" distL="0" distR="0" wp14:anchorId="41F6C9FB" wp14:editId="3A586782">
            <wp:extent cx="5276850" cy="2962275"/>
            <wp:effectExtent l="0" t="0" r="0" b="9525"/>
            <wp:docPr id="77237581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6850" cy="2962275"/>
                    </a:xfrm>
                    <a:prstGeom prst="rect">
                      <a:avLst/>
                    </a:prstGeom>
                    <a:noFill/>
                    <a:ln>
                      <a:noFill/>
                    </a:ln>
                  </pic:spPr>
                </pic:pic>
              </a:graphicData>
            </a:graphic>
          </wp:inline>
        </w:drawing>
      </w:r>
    </w:p>
    <w:p w14:paraId="4F6FE564" w14:textId="77777777" w:rsidR="002F6F1E" w:rsidRDefault="002F6F1E" w:rsidP="002F6F1E">
      <w:pPr>
        <w:spacing w:after="0" w:line="240" w:lineRule="auto"/>
        <w:jc w:val="both"/>
        <w:rPr>
          <w:rFonts w:ascii="Times New Roman" w:hAnsi="Times New Roman" w:cs="Times New Roman"/>
        </w:rPr>
      </w:pPr>
      <w:r>
        <w:rPr>
          <w:rFonts w:ascii="Times New Roman" w:hAnsi="Times New Roman" w:cs="Times New Roman"/>
        </w:rPr>
        <w:t>Iesniedzot formu, pacientam tiek parādīta provizoriskā diēta ar komentāru, ka ārstējošais ārsts to var mainīt pēc izvērtēšanas. Tiek pievienota arī informatīvā saite uz Bērnu klīniskās universitātes slimnīcas sagatavoto informatīvo materiālu par ēdināšanu slimnīcā.</w:t>
      </w:r>
    </w:p>
    <w:p w14:paraId="12BFFF14" w14:textId="70BF7F86" w:rsidR="002F6F1E" w:rsidRDefault="002F6F1E" w:rsidP="002F6F1E">
      <w:pPr>
        <w:spacing w:after="0" w:line="240" w:lineRule="auto"/>
        <w:jc w:val="center"/>
        <w:rPr>
          <w:rFonts w:ascii="Times New Roman" w:hAnsi="Times New Roman" w:cs="Times New Roman"/>
        </w:rPr>
      </w:pPr>
      <w:r>
        <w:rPr>
          <w:rFonts w:ascii="Times New Roman" w:hAnsi="Times New Roman" w:cs="Times New Roman"/>
          <w:noProof/>
          <w:sz w:val="24"/>
          <w:szCs w:val="24"/>
        </w:rPr>
        <w:drawing>
          <wp:inline distT="0" distB="0" distL="0" distR="0" wp14:anchorId="33AF7368" wp14:editId="750E22C2">
            <wp:extent cx="5400675" cy="1628775"/>
            <wp:effectExtent l="0" t="0" r="9525" b="9525"/>
            <wp:docPr id="497160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75" cy="1628775"/>
                    </a:xfrm>
                    <a:prstGeom prst="rect">
                      <a:avLst/>
                    </a:prstGeom>
                    <a:noFill/>
                    <a:ln>
                      <a:noFill/>
                    </a:ln>
                  </pic:spPr>
                </pic:pic>
              </a:graphicData>
            </a:graphic>
          </wp:inline>
        </w:drawing>
      </w:r>
    </w:p>
    <w:p w14:paraId="3AFD14A5" w14:textId="367F692B" w:rsidR="00D156B1" w:rsidRPr="00032FA8" w:rsidRDefault="00032FA8" w:rsidP="00032FA8">
      <w:pPr>
        <w:jc w:val="center"/>
        <w:rPr>
          <w:rFonts w:ascii="Times New Roman" w:hAnsi="Times New Roman" w:cs="Times New Roman"/>
          <w:b/>
          <w:bCs/>
          <w:sz w:val="32"/>
          <w:szCs w:val="32"/>
        </w:rPr>
      </w:pPr>
      <w:r w:rsidRPr="00032FA8">
        <w:rPr>
          <w:rFonts w:ascii="Times New Roman" w:hAnsi="Times New Roman" w:cs="Times New Roman"/>
          <w:b/>
          <w:bCs/>
          <w:sz w:val="32"/>
          <w:szCs w:val="32"/>
        </w:rPr>
        <w:t>Kods</w:t>
      </w:r>
    </w:p>
    <w:p w14:paraId="6C348B25" w14:textId="77777777" w:rsidR="00032FA8" w:rsidRPr="00032FA8" w:rsidRDefault="00032FA8" w:rsidP="00032FA8">
      <w:pPr>
        <w:rPr>
          <w:rFonts w:ascii="Times New Roman" w:hAnsi="Times New Roman" w:cs="Times New Roman"/>
          <w:sz w:val="32"/>
          <w:szCs w:val="32"/>
        </w:rPr>
      </w:pPr>
      <w:r w:rsidRPr="00032FA8">
        <w:rPr>
          <w:rFonts w:ascii="Times New Roman" w:hAnsi="Times New Roman" w:cs="Times New Roman"/>
          <w:sz w:val="32"/>
          <w:szCs w:val="32"/>
        </w:rPr>
        <w:t>webpage/assets/arrow_back_24dp_FILL0_wght400_GRAD0_opsz24.svg</w:t>
      </w:r>
    </w:p>
    <w:p w14:paraId="36CAF01F" w14:textId="77777777" w:rsidR="00032FA8" w:rsidRPr="00032FA8" w:rsidRDefault="00032FA8" w:rsidP="00032FA8">
      <w:pPr>
        <w:rPr>
          <w:rFonts w:ascii="Times New Roman" w:hAnsi="Times New Roman" w:cs="Times New Roman"/>
          <w:sz w:val="32"/>
          <w:szCs w:val="32"/>
        </w:rPr>
      </w:pPr>
      <w:r w:rsidRPr="00032FA8">
        <w:rPr>
          <w:rFonts w:ascii="Times New Roman" w:hAnsi="Times New Roman" w:cs="Times New Roman"/>
          <w:sz w:val="32"/>
          <w:szCs w:val="32"/>
        </w:rPr>
        <w:t>webpage/assets/arrow_forward_24dp_FILL0_wght400_GRAD0_opsz24.svg</w:t>
      </w:r>
    </w:p>
    <w:p w14:paraId="226A9B79" w14:textId="77777777" w:rsidR="00032FA8" w:rsidRPr="00032FA8" w:rsidRDefault="00032FA8" w:rsidP="00032FA8">
      <w:pPr>
        <w:rPr>
          <w:rFonts w:ascii="Times New Roman" w:hAnsi="Times New Roman" w:cs="Times New Roman"/>
          <w:sz w:val="32"/>
          <w:szCs w:val="32"/>
        </w:rPr>
      </w:pPr>
      <w:r w:rsidRPr="00032FA8">
        <w:rPr>
          <w:rFonts w:ascii="Times New Roman" w:hAnsi="Times New Roman" w:cs="Times New Roman"/>
          <w:sz w:val="32"/>
          <w:szCs w:val="32"/>
        </w:rPr>
        <w:t>webpage/assets/backspace_24dp_FILL0_wght400_GRAD0_opsz24.svg</w:t>
      </w:r>
    </w:p>
    <w:p w14:paraId="6EDB2BFF" w14:textId="77777777" w:rsidR="00032FA8" w:rsidRPr="00032FA8" w:rsidRDefault="00032FA8" w:rsidP="00032FA8">
      <w:pPr>
        <w:rPr>
          <w:rFonts w:ascii="Times New Roman" w:hAnsi="Times New Roman" w:cs="Times New Roman"/>
          <w:sz w:val="32"/>
          <w:szCs w:val="32"/>
        </w:rPr>
      </w:pPr>
      <w:r w:rsidRPr="00032FA8">
        <w:rPr>
          <w:rFonts w:ascii="Times New Roman" w:hAnsi="Times New Roman" w:cs="Times New Roman"/>
          <w:sz w:val="32"/>
          <w:szCs w:val="32"/>
        </w:rPr>
        <w:t>webpage/assets/bkus_logo.svg</w:t>
      </w:r>
    </w:p>
    <w:p w14:paraId="6933DAEF" w14:textId="77777777" w:rsidR="00032FA8" w:rsidRPr="00032FA8" w:rsidRDefault="00032FA8" w:rsidP="00032FA8">
      <w:pPr>
        <w:rPr>
          <w:rFonts w:ascii="Times New Roman" w:hAnsi="Times New Roman" w:cs="Times New Roman"/>
          <w:sz w:val="32"/>
          <w:szCs w:val="32"/>
        </w:rPr>
      </w:pPr>
      <w:r w:rsidRPr="00032FA8">
        <w:rPr>
          <w:rFonts w:ascii="Times New Roman" w:hAnsi="Times New Roman" w:cs="Times New Roman"/>
          <w:sz w:val="32"/>
          <w:szCs w:val="32"/>
        </w:rPr>
        <w:lastRenderedPageBreak/>
        <w:t>webpage/assets/check_circle_48dp_FILL1_wght700_GRAD0_opsz48.svg</w:t>
      </w:r>
    </w:p>
    <w:p w14:paraId="0562E210" w14:textId="77777777" w:rsidR="00032FA8" w:rsidRPr="00032FA8" w:rsidRDefault="00032FA8" w:rsidP="00032FA8">
      <w:pPr>
        <w:rPr>
          <w:rFonts w:ascii="Times New Roman" w:hAnsi="Times New Roman" w:cs="Times New Roman"/>
          <w:sz w:val="32"/>
          <w:szCs w:val="32"/>
        </w:rPr>
      </w:pPr>
      <w:r w:rsidRPr="00032FA8">
        <w:rPr>
          <w:rFonts w:ascii="Times New Roman" w:hAnsi="Times New Roman" w:cs="Times New Roman"/>
          <w:sz w:val="32"/>
          <w:szCs w:val="32"/>
        </w:rPr>
        <w:t>webpage/assets/favicon.ico</w:t>
      </w:r>
    </w:p>
    <w:p w14:paraId="3D872E1E" w14:textId="77777777" w:rsidR="00032FA8" w:rsidRPr="00032FA8" w:rsidRDefault="00032FA8" w:rsidP="00032FA8">
      <w:pPr>
        <w:rPr>
          <w:rFonts w:ascii="Times New Roman" w:hAnsi="Times New Roman" w:cs="Times New Roman"/>
          <w:sz w:val="32"/>
          <w:szCs w:val="32"/>
        </w:rPr>
      </w:pPr>
      <w:r w:rsidRPr="00032FA8">
        <w:rPr>
          <w:rFonts w:ascii="Times New Roman" w:hAnsi="Times New Roman" w:cs="Times New Roman"/>
          <w:sz w:val="32"/>
          <w:szCs w:val="32"/>
        </w:rPr>
        <w:t>webpage/assets/login_24dp_FILL0_wght400_GRAD0_opsz24.svg</w:t>
      </w:r>
    </w:p>
    <w:p w14:paraId="0601187B" w14:textId="77777777" w:rsidR="00032FA8" w:rsidRPr="00032FA8" w:rsidRDefault="00032FA8" w:rsidP="00032FA8">
      <w:pPr>
        <w:rPr>
          <w:rFonts w:ascii="Times New Roman" w:hAnsi="Times New Roman" w:cs="Times New Roman"/>
          <w:sz w:val="32"/>
          <w:szCs w:val="32"/>
        </w:rPr>
      </w:pPr>
      <w:r w:rsidRPr="00032FA8">
        <w:rPr>
          <w:rFonts w:ascii="Times New Roman" w:hAnsi="Times New Roman" w:cs="Times New Roman"/>
          <w:sz w:val="32"/>
          <w:szCs w:val="32"/>
        </w:rPr>
        <w:t>webpage/assets/send_24dp_FILL0_wght400_GRAD0_opsz24.svg</w:t>
      </w:r>
    </w:p>
    <w:p w14:paraId="7314E984" w14:textId="77777777" w:rsidR="00032FA8" w:rsidRPr="00032FA8" w:rsidRDefault="00032FA8" w:rsidP="00032FA8">
      <w:pPr>
        <w:rPr>
          <w:rFonts w:ascii="Times New Roman" w:hAnsi="Times New Roman" w:cs="Times New Roman"/>
          <w:sz w:val="32"/>
          <w:szCs w:val="32"/>
        </w:rPr>
      </w:pPr>
      <w:r w:rsidRPr="00032FA8">
        <w:rPr>
          <w:rFonts w:ascii="Times New Roman" w:hAnsi="Times New Roman" w:cs="Times New Roman"/>
          <w:sz w:val="32"/>
          <w:szCs w:val="32"/>
        </w:rPr>
        <w:t>webpage/db_server.py</w:t>
      </w:r>
    </w:p>
    <w:p w14:paraId="044F6E0F" w14:textId="77777777" w:rsidR="00032FA8" w:rsidRPr="00032FA8" w:rsidRDefault="00032FA8" w:rsidP="00032FA8">
      <w:pPr>
        <w:rPr>
          <w:rFonts w:ascii="Times New Roman" w:hAnsi="Times New Roman" w:cs="Times New Roman"/>
          <w:sz w:val="32"/>
          <w:szCs w:val="32"/>
        </w:rPr>
      </w:pPr>
      <w:r w:rsidRPr="00032FA8">
        <w:rPr>
          <w:rFonts w:ascii="Times New Roman" w:hAnsi="Times New Roman" w:cs="Times New Roman"/>
          <w:sz w:val="32"/>
          <w:szCs w:val="32"/>
        </w:rPr>
        <w:t>webpage/html_server.py</w:t>
      </w:r>
    </w:p>
    <w:p w14:paraId="763DE7B9" w14:textId="77777777" w:rsidR="00032FA8" w:rsidRPr="00032FA8" w:rsidRDefault="00032FA8" w:rsidP="00032FA8">
      <w:pPr>
        <w:rPr>
          <w:rFonts w:ascii="Times New Roman" w:hAnsi="Times New Roman" w:cs="Times New Roman"/>
          <w:sz w:val="32"/>
          <w:szCs w:val="32"/>
        </w:rPr>
      </w:pPr>
      <w:r w:rsidRPr="00032FA8">
        <w:rPr>
          <w:rFonts w:ascii="Times New Roman" w:hAnsi="Times New Roman" w:cs="Times New Roman"/>
          <w:sz w:val="32"/>
          <w:szCs w:val="32"/>
        </w:rPr>
        <w:t>webpage/main.html</w:t>
      </w:r>
    </w:p>
    <w:p w14:paraId="3FEF9FD7" w14:textId="77777777" w:rsidR="00032FA8" w:rsidRPr="00032FA8" w:rsidRDefault="00032FA8" w:rsidP="00032FA8">
      <w:pPr>
        <w:rPr>
          <w:rFonts w:ascii="Times New Roman" w:hAnsi="Times New Roman" w:cs="Times New Roman"/>
          <w:sz w:val="32"/>
          <w:szCs w:val="32"/>
        </w:rPr>
      </w:pPr>
      <w:r w:rsidRPr="00032FA8">
        <w:rPr>
          <w:rFonts w:ascii="Times New Roman" w:hAnsi="Times New Roman" w:cs="Times New Roman"/>
          <w:sz w:val="32"/>
          <w:szCs w:val="32"/>
        </w:rPr>
        <w:t>webpage/script.js</w:t>
      </w:r>
    </w:p>
    <w:p w14:paraId="66D3C9DA" w14:textId="77777777" w:rsidR="00032FA8" w:rsidRPr="00032FA8" w:rsidRDefault="00032FA8" w:rsidP="00032FA8">
      <w:pPr>
        <w:rPr>
          <w:rFonts w:ascii="Times New Roman" w:hAnsi="Times New Roman" w:cs="Times New Roman"/>
          <w:sz w:val="32"/>
          <w:szCs w:val="32"/>
        </w:rPr>
      </w:pPr>
      <w:r w:rsidRPr="00032FA8">
        <w:rPr>
          <w:rFonts w:ascii="Times New Roman" w:hAnsi="Times New Roman" w:cs="Times New Roman"/>
          <w:sz w:val="32"/>
          <w:szCs w:val="32"/>
        </w:rPr>
        <w:t>webpage/styles.css</w:t>
      </w:r>
    </w:p>
    <w:p w14:paraId="412D48D1" w14:textId="65F3ACB9" w:rsidR="00032FA8" w:rsidRPr="00032FA8" w:rsidRDefault="00032FA8" w:rsidP="00032FA8">
      <w:pPr>
        <w:rPr>
          <w:rFonts w:ascii="Times New Roman" w:hAnsi="Times New Roman" w:cs="Times New Roman"/>
          <w:sz w:val="32"/>
          <w:szCs w:val="32"/>
        </w:rPr>
      </w:pPr>
      <w:r w:rsidRPr="00032FA8">
        <w:rPr>
          <w:rFonts w:ascii="Times New Roman" w:hAnsi="Times New Roman" w:cs="Times New Roman"/>
          <w:sz w:val="32"/>
          <w:szCs w:val="32"/>
        </w:rPr>
        <w:t>webpage/test.py</w:t>
      </w:r>
    </w:p>
    <w:sectPr w:rsidR="00032FA8" w:rsidRPr="00032F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702B1D"/>
    <w:multiLevelType w:val="hybridMultilevel"/>
    <w:tmpl w:val="88047862"/>
    <w:lvl w:ilvl="0" w:tplc="0426000F">
      <w:start w:val="1"/>
      <w:numFmt w:val="decimal"/>
      <w:lvlText w:val="%1."/>
      <w:lvlJc w:val="left"/>
      <w:pPr>
        <w:ind w:left="720" w:hanging="360"/>
      </w:pPr>
    </w:lvl>
    <w:lvl w:ilvl="1" w:tplc="04260019">
      <w:start w:val="1"/>
      <w:numFmt w:val="lowerLetter"/>
      <w:lvlText w:val="%2."/>
      <w:lvlJc w:val="left"/>
      <w:pPr>
        <w:ind w:left="1440" w:hanging="360"/>
      </w:pPr>
    </w:lvl>
    <w:lvl w:ilvl="2" w:tplc="0426001B">
      <w:start w:val="1"/>
      <w:numFmt w:val="lowerRoman"/>
      <w:lvlText w:val="%3."/>
      <w:lvlJc w:val="right"/>
      <w:pPr>
        <w:ind w:left="2160" w:hanging="180"/>
      </w:pPr>
    </w:lvl>
    <w:lvl w:ilvl="3" w:tplc="0426000F">
      <w:start w:val="1"/>
      <w:numFmt w:val="decimal"/>
      <w:lvlText w:val="%4."/>
      <w:lvlJc w:val="left"/>
      <w:pPr>
        <w:ind w:left="2880" w:hanging="360"/>
      </w:pPr>
    </w:lvl>
    <w:lvl w:ilvl="4" w:tplc="04260019">
      <w:start w:val="1"/>
      <w:numFmt w:val="lowerLetter"/>
      <w:lvlText w:val="%5."/>
      <w:lvlJc w:val="left"/>
      <w:pPr>
        <w:ind w:left="3600" w:hanging="360"/>
      </w:pPr>
    </w:lvl>
    <w:lvl w:ilvl="5" w:tplc="0426001B">
      <w:start w:val="1"/>
      <w:numFmt w:val="lowerRoman"/>
      <w:lvlText w:val="%6."/>
      <w:lvlJc w:val="right"/>
      <w:pPr>
        <w:ind w:left="4320" w:hanging="180"/>
      </w:pPr>
    </w:lvl>
    <w:lvl w:ilvl="6" w:tplc="0426000F">
      <w:start w:val="1"/>
      <w:numFmt w:val="decimal"/>
      <w:lvlText w:val="%7."/>
      <w:lvlJc w:val="left"/>
      <w:pPr>
        <w:ind w:left="5040" w:hanging="360"/>
      </w:pPr>
    </w:lvl>
    <w:lvl w:ilvl="7" w:tplc="04260019">
      <w:start w:val="1"/>
      <w:numFmt w:val="lowerLetter"/>
      <w:lvlText w:val="%8."/>
      <w:lvlJc w:val="left"/>
      <w:pPr>
        <w:ind w:left="5760" w:hanging="360"/>
      </w:pPr>
    </w:lvl>
    <w:lvl w:ilvl="8" w:tplc="0426001B">
      <w:start w:val="1"/>
      <w:numFmt w:val="lowerRoman"/>
      <w:lvlText w:val="%9."/>
      <w:lvlJc w:val="right"/>
      <w:pPr>
        <w:ind w:left="6480" w:hanging="180"/>
      </w:pPr>
    </w:lvl>
  </w:abstractNum>
  <w:num w:numId="1" w16cid:durableId="15242471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1E"/>
    <w:rsid w:val="00024188"/>
    <w:rsid w:val="00032FA8"/>
    <w:rsid w:val="002F6F1E"/>
    <w:rsid w:val="00C013F4"/>
    <w:rsid w:val="00D156B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75AC9C"/>
  <w15:chartTrackingRefBased/>
  <w15:docId w15:val="{4FCAF5C7-C2E7-40DA-9DA6-7FB69FF51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lv-L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F1E"/>
    <w:pPr>
      <w:spacing w:line="256" w:lineRule="auto"/>
    </w:pPr>
    <w:rPr>
      <w:sz w:val="22"/>
      <w:szCs w:val="22"/>
    </w:rPr>
  </w:style>
  <w:style w:type="paragraph" w:styleId="Heading1">
    <w:name w:val="heading 1"/>
    <w:basedOn w:val="Normal"/>
    <w:next w:val="Normal"/>
    <w:link w:val="Heading1Char"/>
    <w:uiPriority w:val="9"/>
    <w:qFormat/>
    <w:rsid w:val="002F6F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6F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F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F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F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F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F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F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F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F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6F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6F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F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F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F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F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F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F1E"/>
    <w:rPr>
      <w:rFonts w:eastAsiaTheme="majorEastAsia" w:cstheme="majorBidi"/>
      <w:color w:val="272727" w:themeColor="text1" w:themeTint="D8"/>
    </w:rPr>
  </w:style>
  <w:style w:type="paragraph" w:styleId="Title">
    <w:name w:val="Title"/>
    <w:basedOn w:val="Normal"/>
    <w:next w:val="Normal"/>
    <w:link w:val="TitleChar"/>
    <w:uiPriority w:val="10"/>
    <w:qFormat/>
    <w:rsid w:val="002F6F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F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F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F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F1E"/>
    <w:pPr>
      <w:spacing w:before="160"/>
      <w:jc w:val="center"/>
    </w:pPr>
    <w:rPr>
      <w:i/>
      <w:iCs/>
      <w:color w:val="404040" w:themeColor="text1" w:themeTint="BF"/>
    </w:rPr>
  </w:style>
  <w:style w:type="character" w:customStyle="1" w:styleId="QuoteChar">
    <w:name w:val="Quote Char"/>
    <w:basedOn w:val="DefaultParagraphFont"/>
    <w:link w:val="Quote"/>
    <w:uiPriority w:val="29"/>
    <w:rsid w:val="002F6F1E"/>
    <w:rPr>
      <w:i/>
      <w:iCs/>
      <w:color w:val="404040" w:themeColor="text1" w:themeTint="BF"/>
    </w:rPr>
  </w:style>
  <w:style w:type="paragraph" w:styleId="ListParagraph">
    <w:name w:val="List Paragraph"/>
    <w:basedOn w:val="Normal"/>
    <w:uiPriority w:val="34"/>
    <w:qFormat/>
    <w:rsid w:val="002F6F1E"/>
    <w:pPr>
      <w:ind w:left="720"/>
      <w:contextualSpacing/>
    </w:pPr>
  </w:style>
  <w:style w:type="character" w:styleId="IntenseEmphasis">
    <w:name w:val="Intense Emphasis"/>
    <w:basedOn w:val="DefaultParagraphFont"/>
    <w:uiPriority w:val="21"/>
    <w:qFormat/>
    <w:rsid w:val="002F6F1E"/>
    <w:rPr>
      <w:i/>
      <w:iCs/>
      <w:color w:val="0F4761" w:themeColor="accent1" w:themeShade="BF"/>
    </w:rPr>
  </w:style>
  <w:style w:type="paragraph" w:styleId="IntenseQuote">
    <w:name w:val="Intense Quote"/>
    <w:basedOn w:val="Normal"/>
    <w:next w:val="Normal"/>
    <w:link w:val="IntenseQuoteChar"/>
    <w:uiPriority w:val="30"/>
    <w:qFormat/>
    <w:rsid w:val="002F6F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F1E"/>
    <w:rPr>
      <w:i/>
      <w:iCs/>
      <w:color w:val="0F4761" w:themeColor="accent1" w:themeShade="BF"/>
    </w:rPr>
  </w:style>
  <w:style w:type="character" w:styleId="IntenseReference">
    <w:name w:val="Intense Reference"/>
    <w:basedOn w:val="DefaultParagraphFont"/>
    <w:uiPriority w:val="32"/>
    <w:qFormat/>
    <w:rsid w:val="002F6F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89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714</Words>
  <Characters>5309</Characters>
  <Application>Microsoft Office Word</Application>
  <DocSecurity>0</DocSecurity>
  <Lines>98</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 Kursīte</dc:creator>
  <cp:keywords/>
  <dc:description/>
  <cp:lastModifiedBy>Santa Kursīte</cp:lastModifiedBy>
  <cp:revision>2</cp:revision>
  <dcterms:created xsi:type="dcterms:W3CDTF">2024-05-31T20:05:00Z</dcterms:created>
  <dcterms:modified xsi:type="dcterms:W3CDTF">2024-05-31T21:46:00Z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51c652d5-4b42-425e-9bee-cf2de471ebcf</vt:lpwstr>
  </property>
</Properties>
</file>