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A5A5A"/>
          <w:sz w:val="20"/>
        </w:rPr>
        <w:t>BUSINESS REQUIREMENTS DOCUMENT</w:t>
      </w:r>
    </w:p>
    <w:p>
      <w:pPr>
        <w:pStyle w:val="Title"/>
        <w:jc w:val="center"/>
      </w:pPr>
      <w:r>
        <w:t>Smarter Municipal Complaint Management</w:t>
      </w:r>
    </w:p>
    <w:p>
      <w:pPr>
        <w:jc w:val="center"/>
      </w:pPr>
      <w:r>
        <w:rPr>
          <w:i/>
          <w:sz w:val="18"/>
        </w:rPr>
        <w:t>Problem Discovery Brief | Selected cases: Complaint Routing &amp; Duplicate Incident Management</w:t>
      </w:r>
    </w:p>
    <w:p>
      <w:pPr>
        <w:pStyle w:val="Heading1"/>
      </w:pPr>
      <w:r>
        <w:t>1. Selected Theme / Cases</w:t>
      </w:r>
    </w:p>
    <w:p>
      <w:r>
        <w:t>Theme: Improving the reliability, accountability and efficiency of municipal grievance handling. The investigation focuses on two connected cases: (1) complaints being routed or reassigned between departments, and (2) multiple complaints referring to the same underlying incident.</w:t>
      </w:r>
    </w:p>
    <w:p>
      <w:pPr>
        <w:pStyle w:val="Heading1"/>
      </w:pPr>
      <w:r>
        <w:t>2. Stakeholders</w:t>
      </w:r>
    </w:p>
    <w:tbl>
      <w:tblPr>
        <w:tblStyle w:val="LightShading-Accent1"/>
        <w:tblW w:type="auto" w:w="0"/>
        <w:tblLook w:firstColumn="1" w:firstRow="1" w:lastColumn="0" w:lastRow="0" w:noHBand="0" w:noVBand="1" w:val="04A0"/>
      </w:tblPr>
      <w:tblGrid>
        <w:gridCol w:w="2448"/>
        <w:gridCol w:w="8064"/>
      </w:tblGrid>
      <w:tr>
        <w:tc>
          <w:tcPr>
            <w:tcW w:type="dxa" w:w="2448"/>
          </w:tcPr>
          <w:p>
            <w:r>
              <w:t>Residents / complainants</w:t>
            </w:r>
          </w:p>
        </w:tc>
        <w:tc>
          <w:tcPr>
            <w:tcW w:type="dxa" w:w="8064"/>
          </w:tcPr>
          <w:p>
            <w:r>
              <w:t>Submit reports, expect timely action, and need their individual concerns and follow-ups preserved.</w:t>
            </w:r>
          </w:p>
        </w:tc>
      </w:tr>
      <w:tr>
        <w:tc>
          <w:tcPr>
            <w:tcW w:type="dxa" w:w="2448"/>
          </w:tcPr>
          <w:p>
            <w:r>
              <w:t>Municipal call-centre and front-desk staff</w:t>
            </w:r>
          </w:p>
        </w:tc>
        <w:tc>
          <w:tcPr>
            <w:tcW w:type="dxa" w:w="8064"/>
          </w:tcPr>
          <w:p>
            <w:r>
              <w:t>Receive complaints across channels, record details and may perform initial categorisation.</w:t>
            </w:r>
          </w:p>
        </w:tc>
      </w:tr>
      <w:tr>
        <w:tc>
          <w:tcPr>
            <w:tcW w:type="dxa" w:w="2448"/>
          </w:tcPr>
          <w:p>
            <w:r>
              <w:t>Complaint-management / IT team</w:t>
            </w:r>
          </w:p>
        </w:tc>
        <w:tc>
          <w:tcPr>
            <w:tcW w:type="dxa" w:w="8064"/>
          </w:tcPr>
          <w:p>
            <w:r>
              <w:t>Maintains the platform, classification rules, duplicate-linking logic and audit trail.</w:t>
            </w:r>
          </w:p>
        </w:tc>
      </w:tr>
      <w:tr>
        <w:tc>
          <w:tcPr>
            <w:tcW w:type="dxa" w:w="2448"/>
          </w:tcPr>
          <w:p>
            <w:r>
              <w:t>Department supervisors</w:t>
            </w:r>
          </w:p>
        </w:tc>
        <w:tc>
          <w:tcPr>
            <w:tcW w:type="dxa" w:w="8064"/>
          </w:tcPr>
          <w:p>
            <w:r>
              <w:t>Clarify ownership, accept or redirect cases, monitor queues and resolve jurisdiction disputes.</w:t>
            </w:r>
          </w:p>
        </w:tc>
      </w:tr>
      <w:tr>
        <w:tc>
          <w:tcPr>
            <w:tcW w:type="dxa" w:w="2448"/>
          </w:tcPr>
          <w:p>
            <w:r>
              <w:t>Operational departments</w:t>
            </w:r>
          </w:p>
        </w:tc>
        <w:tc>
          <w:tcPr>
            <w:tcW w:type="dxa" w:w="8064"/>
          </w:tcPr>
          <w:p>
            <w:r>
              <w:t>For example, sanitation, drainage and road engineering; inspect and resolve assigned issues.</w:t>
            </w:r>
          </w:p>
        </w:tc>
      </w:tr>
      <w:tr>
        <w:tc>
          <w:tcPr>
            <w:tcW w:type="dxa" w:w="2448"/>
          </w:tcPr>
          <w:p>
            <w:r>
              <w:t>Municipal leadership / grievance cell</w:t>
            </w:r>
          </w:p>
        </w:tc>
        <w:tc>
          <w:tcPr>
            <w:tcW w:type="dxa" w:w="8064"/>
          </w:tcPr>
          <w:p>
            <w:r>
              <w:t>Sets service standards, monitors delays and ensures accountability.</w:t>
            </w:r>
          </w:p>
        </w:tc>
      </w:tr>
    </w:tbl>
    <w:p>
      <w:pPr>
        <w:pStyle w:val="Heading1"/>
      </w:pPr>
      <w:r>
        <w:t>3. Problems Identified</w:t>
      </w:r>
    </w:p>
    <w:p>
      <w:pPr>
        <w:pStyle w:val="Heading2"/>
      </w:pPr>
      <w:r>
        <w:t>Case A — Incorrect routing and repeated reassignment</w:t>
      </w:r>
    </w:p>
    <w:p>
      <w:r>
        <w:t>Complaints may be sent to the wrong department and transferred repeatedly because of inaccurate categorisation, unclear jurisdiction, missing information or outdated routing rules. This can delay resolution and make ownership unclear.</w:t>
      </w:r>
    </w:p>
    <w:p>
      <w:r>
        <w:t>Illustrative example: A blocked roadside drain is passed between sanitation, drainage and road engineering. The example is a scenario to validate, not a verified incident.</w:t>
      </w:r>
    </w:p>
    <w:p>
      <w:pPr>
        <w:pStyle w:val="Heading2"/>
      </w:pPr>
      <w:r>
        <w:t>Case B — Duplicate complaints for one incident</w:t>
      </w:r>
    </w:p>
    <w:p>
      <w:r>
        <w:t>Reports submitted by different residents or through different channels may refer to the same incident. Treating every report as an unrelated work item can inflate queues; merging them too aggressively can erase individual citizen records, follow-ups or evidence of the issue's scale.</w:t>
      </w:r>
    </w:p>
    <w:p>
      <w:r>
        <w:t>Illustrative example: Twenty reports describe one pothole through a portal, phone calls and in-person visits. The number and channels are illustrative, not verified data.</w:t>
      </w:r>
    </w:p>
    <w:p>
      <w:pPr>
        <w:pStyle w:val="Heading1"/>
      </w:pPr>
      <w:r>
        <w:t>4. Alternative Problem Statements Considered</w:t>
      </w:r>
    </w:p>
    <w:p>
      <w:pPr>
        <w:pStyle w:val="ListBullet"/>
      </w:pPr>
      <w:r>
        <w:rPr>
          <w:b/>
        </w:rPr>
        <w:t xml:space="preserve">A1. Improve AI-based complaint classification — </w:t>
      </w:r>
      <w:r>
        <w:t>Could reduce initial misclassification, but will not resolve unclear departmental ownership or conflicting rules on its own.</w:t>
      </w:r>
    </w:p>
    <w:p>
      <w:pPr>
        <w:pStyle w:val="ListBullet"/>
      </w:pPr>
      <w:r>
        <w:rPr>
          <w:b/>
        </w:rPr>
        <w:t xml:space="preserve">A2. Define ownership and escalation rules — </w:t>
      </w:r>
      <w:r>
        <w:t>Targets the root cause of repeated transfers; requires departments to agree on boundaries, fallback owners and escalation paths.</w:t>
      </w:r>
    </w:p>
    <w:p>
      <w:pPr>
        <w:pStyle w:val="ListBullet"/>
      </w:pPr>
      <w:r>
        <w:rPr>
          <w:b/>
        </w:rPr>
        <w:t xml:space="preserve">B1. Automatically merge duplicate complaints — </w:t>
      </w:r>
      <w:r>
        <w:t>May reduce repeated work, but risks losing separate complainant histories or incorrectly combining nearby, distinct incidents.</w:t>
      </w:r>
    </w:p>
    <w:p>
      <w:pPr>
        <w:pStyle w:val="ListBullet"/>
      </w:pPr>
      <w:r>
        <w:rPr>
          <w:b/>
        </w:rPr>
        <w:t xml:space="preserve">B2. Link related reports to a shared incident while retaining each complaint — </w:t>
      </w:r>
      <w:r>
        <w:t>Balances operational efficiency with citizen-level traceability; requires reliable matching, confidence thresholds and human review for uncertain matches.</w:t>
      </w:r>
    </w:p>
    <w:p>
      <w:pPr>
        <w:pStyle w:val="ListBullet"/>
      </w:pPr>
      <w:r>
        <w:rPr>
          <w:b/>
        </w:rPr>
        <w:t xml:space="preserve">C. Build a unified intake form across channels — </w:t>
      </w:r>
      <w:r>
        <w:t>Could improve completeness and consistency, but does not by itself solve routing ambiguity or cross-channel duplicates.</w:t>
      </w:r>
    </w:p>
    <w:p>
      <w:pPr>
        <w:pStyle w:val="Heading1"/>
      </w:pPr>
      <w:r>
        <w:t>5. Evidence and Assumptions</w:t>
      </w:r>
    </w:p>
    <w:p>
      <w:pPr>
        <w:pStyle w:val="Heading2"/>
      </w:pPr>
      <w:r>
        <w:t>Evidence available at this stage</w:t>
      </w:r>
    </w:p>
    <w:p>
      <w:r>
        <w:t>The current case brief identifies plausible failure modes and provides illustrative examples. The supplied links appear to be contextual references, but the team has not yet verified local complaint records, reassignment logs, processing times or duplicate rates. Therefore, the problem descriptions should be treated as hypotheses for discovery, not established measurements.</w:t>
      </w:r>
    </w:p>
    <w:p>
      <w:pPr>
        <w:pStyle w:val="Heading2"/>
      </w:pPr>
      <w:r>
        <w:t>Assumptions to validate</w:t>
      </w:r>
    </w:p>
    <w:p>
      <w:pPr>
        <w:pStyle w:val="ListBullet"/>
      </w:pPr>
      <w:r>
        <w:t>The municipality records complaint status, timestamps, assigned department and reassignment history.</w:t>
      </w:r>
    </w:p>
    <w:p>
      <w:pPr>
        <w:pStyle w:val="ListBullet"/>
      </w:pPr>
      <w:r>
        <w:t>Departmental ownership rules may be incomplete, overlapping or inconsistently applied.</w:t>
      </w:r>
    </w:p>
    <w:p>
      <w:pPr>
        <w:pStyle w:val="ListBullet"/>
      </w:pPr>
      <w:r>
        <w:t>Complaint channels capture enough location, category, text and/or image data to support matching.</w:t>
      </w:r>
    </w:p>
    <w:p>
      <w:pPr>
        <w:pStyle w:val="ListBullet"/>
      </w:pPr>
      <w:r>
        <w:t>Residents need their own complaint IDs, updates and appeal/follow-up history even when reports are linked to one incident.</w:t>
      </w:r>
    </w:p>
    <w:p>
      <w:pPr>
        <w:pStyle w:val="ListBullet"/>
      </w:pPr>
      <w:r>
        <w:t>Staff can review low-confidence routing or duplicate matches and correct them.</w:t>
      </w:r>
    </w:p>
    <w:p>
      <w:pPr>
        <w:pStyle w:val="Heading1"/>
      </w:pPr>
      <w:r>
        <w:t>6. Why These Problems Were Chosen</w:t>
      </w:r>
    </w:p>
    <w:p>
      <w:r>
        <w:t>Both cases affect the path from citizen report to municipal action and may create avoidable delay, staff workload and reduced trust. They are concrete enough to investigate using complaint records and staff interviews, yet expose important design trade-offs: automation versus clear governance, and workload reduction versus preserving individual accountability. Together, they offer measurable outcomes without assuming that AI alone is the solution.</w:t>
      </w:r>
    </w:p>
    <w:p>
      <w:pPr>
        <w:pStyle w:val="Heading1"/>
      </w:pPr>
      <w:r>
        <w:t>7. Proposed Problem Statement</w:t>
      </w:r>
    </w:p>
    <w:p>
      <w:r>
        <w:rPr>
          <w:b/>
        </w:rPr>
        <w:t>How might we help a municipality assign each complaint to a clearly accountable department on the first attempt, and identify reports about the same underlying incident across channels—while preserving every resident’s complaint history and avoiding incorrect merges?</w:t>
      </w:r>
    </w:p>
    <w:p>
      <w:pPr>
        <w:pStyle w:val="Heading1"/>
      </w:pPr>
      <w:r>
        <w:t>8. Initial Success Measures</w:t>
      </w:r>
    </w:p>
    <w:p>
      <w:pPr>
        <w:pStyle w:val="ListBullet"/>
      </w:pPr>
      <w:r>
        <w:t>Routing: first-assignment accuracy; average number of transfers per complaint; time from submission to acceptance by the responsible department.</w:t>
      </w:r>
    </w:p>
    <w:p>
      <w:pPr>
        <w:pStyle w:val="ListBullet"/>
      </w:pPr>
      <w:r>
        <w:t>Incident linking: precision and recall of suggested duplicate links; number of duplicate work items reduced; rate of incorrect links or merges.</w:t>
      </w:r>
    </w:p>
    <w:p>
      <w:pPr>
        <w:pStyle w:val="ListBullet"/>
      </w:pPr>
      <w:r>
        <w:t>Citizen accountability: percentage of complaints with a traceable owner and status; preservation of individual complaint IDs and updates.</w:t>
      </w:r>
    </w:p>
    <w:p>
      <w:pPr>
        <w:pStyle w:val="Heading1"/>
      </w:pPr>
      <w:r>
        <w:t>9. Next Validation Steps</w:t>
      </w:r>
    </w:p>
    <w:p>
      <w:pPr>
        <w:pStyle w:val="ListNumber"/>
      </w:pPr>
      <w:r>
        <w:t>Interview intake staff and representatives from sanitation, drainage and road engineering to map actual ownership rules.</w:t>
      </w:r>
    </w:p>
    <w:p>
      <w:pPr>
        <w:pStyle w:val="ListNumber"/>
      </w:pPr>
      <w:r>
        <w:t>Review a sample of historical complaints, including transfer histories, timestamps, categories, locations and resolution outcomes.</w:t>
      </w:r>
    </w:p>
    <w:p>
      <w:pPr>
        <w:pStyle w:val="ListNumber"/>
      </w:pPr>
      <w:r>
        <w:t>Ask staff to label a sample of suspected duplicate reports and compare those judgements with proposed matching criteria.</w:t>
      </w:r>
    </w:p>
    <w:p>
      <w:pPr>
        <w:pStyle w:val="ListNumber"/>
      </w:pPr>
      <w:r>
        <w:t>Define safeguards: explainable routing, an accountable fallback department, human review for uncertain matches, and no deletion of individual complaint records.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Business Requirements Document | Draft for problem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