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0358" w14:textId="77777777" w:rsidR="00BA596D" w:rsidRPr="00BA596D" w:rsidRDefault="00BA596D" w:rsidP="00BA596D">
      <w:pPr>
        <w:rPr>
          <w:b/>
          <w:bCs/>
          <w:sz w:val="28"/>
          <w:szCs w:val="28"/>
        </w:rPr>
      </w:pPr>
      <w:r w:rsidRPr="00BA596D">
        <w:rPr>
          <w:b/>
          <w:bCs/>
          <w:sz w:val="28"/>
          <w:szCs w:val="28"/>
        </w:rPr>
        <w:t>Resumo Executivo – Diagnóstico de Inadimplência e Eficiência do Funil de Cobrança</w:t>
      </w:r>
    </w:p>
    <w:p w14:paraId="0B263F4F" w14:textId="14CE6E45" w:rsidR="00BA596D" w:rsidRPr="00BA596D" w:rsidRDefault="00BA596D" w:rsidP="00BA596D">
      <w:r w:rsidRPr="00BA596D">
        <w:rPr>
          <w:b/>
          <w:bCs/>
        </w:rPr>
        <w:t xml:space="preserve">Grupo </w:t>
      </w:r>
      <w:r w:rsidR="00C91917">
        <w:rPr>
          <w:b/>
          <w:bCs/>
        </w:rPr>
        <w:t>Escolar</w:t>
      </w:r>
      <w:r w:rsidRPr="00BA596D">
        <w:rPr>
          <w:b/>
          <w:bCs/>
        </w:rPr>
        <w:t xml:space="preserve"> Case: Analista de Dados – Apoio Financeiro</w:t>
      </w:r>
      <w:r w:rsidRPr="00BA596D">
        <w:br/>
      </w:r>
      <w:r w:rsidRPr="00BA596D">
        <w:rPr>
          <w:b/>
          <w:bCs/>
        </w:rPr>
        <w:t>Autor:</w:t>
      </w:r>
      <w:r w:rsidRPr="00BA596D">
        <w:t> Andres Silva</w:t>
      </w:r>
      <w:r w:rsidRPr="00BA596D">
        <w:br/>
      </w:r>
      <w:r w:rsidRPr="00BA596D">
        <w:rPr>
          <w:b/>
          <w:bCs/>
        </w:rPr>
        <w:t>Data:</w:t>
      </w:r>
      <w:r w:rsidRPr="00BA596D">
        <w:t> </w:t>
      </w:r>
      <w:r>
        <w:t>01/08/2025</w:t>
      </w:r>
    </w:p>
    <w:p w14:paraId="55576DB3" w14:textId="77777777" w:rsidR="00BA596D" w:rsidRPr="00BA596D" w:rsidRDefault="00BA596D" w:rsidP="00BA596D">
      <w:pPr>
        <w:rPr>
          <w:b/>
          <w:bCs/>
          <w:sz w:val="28"/>
          <w:szCs w:val="28"/>
        </w:rPr>
      </w:pPr>
      <w:r w:rsidRPr="00BA596D">
        <w:rPr>
          <w:b/>
          <w:bCs/>
          <w:sz w:val="28"/>
          <w:szCs w:val="28"/>
        </w:rPr>
        <w:t>1. Introdução e Contextualização</w:t>
      </w:r>
    </w:p>
    <w:p w14:paraId="1618481E" w14:textId="65831D6A" w:rsidR="00BA596D" w:rsidRPr="00BA596D" w:rsidRDefault="00BA596D" w:rsidP="00BA596D">
      <w:r w:rsidRPr="00BA596D">
        <w:t xml:space="preserve">A inadimplência escolar permanece como um dos principais desafios de sustentabilidade financeira para redes educacionais. O presente trabalho teve como objetivo analisar profundamente a base de cobrança do Grupo </w:t>
      </w:r>
      <w:r w:rsidR="00C91917">
        <w:t>Escolar</w:t>
      </w:r>
      <w:r w:rsidRPr="00BA596D">
        <w:t>, quantificando gargalos, identificando padrões e propondo estratégias que maximizem a recuperação de receita e a eficiência do processo de cobrança.</w:t>
      </w:r>
    </w:p>
    <w:p w14:paraId="3C936371" w14:textId="77777777" w:rsidR="00BA596D" w:rsidRPr="00BA596D" w:rsidRDefault="00BA596D" w:rsidP="00BA596D">
      <w:r w:rsidRPr="00BA596D">
        <w:t>Partindo de dados reais referentes a boletos, pagamentos, alunos e etapas do funil de cobrança, as análises buscaram fundamentar uma atuação mais estratégica, ágil e direcionada, visando redução consistente da inadimplência e fortalecimento das políticas de relacionamento financeiro com alunos e responsáveis.</w:t>
      </w:r>
    </w:p>
    <w:p w14:paraId="7D5AB6E5" w14:textId="77777777" w:rsidR="00BA596D" w:rsidRPr="00BA596D" w:rsidRDefault="00BA596D" w:rsidP="00BA596D">
      <w:pPr>
        <w:rPr>
          <w:b/>
          <w:bCs/>
          <w:sz w:val="28"/>
          <w:szCs w:val="28"/>
        </w:rPr>
      </w:pPr>
      <w:r w:rsidRPr="00BA596D">
        <w:rPr>
          <w:b/>
          <w:bCs/>
          <w:sz w:val="28"/>
          <w:szCs w:val="28"/>
        </w:rPr>
        <w:t>2. Diagnóstico Inicial da Base de Dados</w:t>
      </w:r>
    </w:p>
    <w:p w14:paraId="1C276F06" w14:textId="77777777" w:rsidR="00BA596D" w:rsidRPr="00BA596D" w:rsidRDefault="00BA596D" w:rsidP="00BA596D">
      <w:pPr>
        <w:rPr>
          <w:b/>
          <w:bCs/>
        </w:rPr>
      </w:pPr>
      <w:r w:rsidRPr="00BA596D">
        <w:rPr>
          <w:b/>
          <w:bCs/>
        </w:rPr>
        <w:t>Estrutura e Qualidade dos Dados:</w:t>
      </w:r>
    </w:p>
    <w:p w14:paraId="2FDAE829" w14:textId="77777777" w:rsidR="00BA596D" w:rsidRPr="00BA596D" w:rsidRDefault="00BA596D" w:rsidP="00BA596D">
      <w:pPr>
        <w:numPr>
          <w:ilvl w:val="0"/>
          <w:numId w:val="1"/>
        </w:numPr>
      </w:pPr>
      <w:r w:rsidRPr="00BA596D">
        <w:t>A base principal ('Base') continha cerca de 152 mil registros de boletos/ocorrências, cobrindo os anos letivos de 2022 e 2023.</w:t>
      </w:r>
    </w:p>
    <w:p w14:paraId="7C094276" w14:textId="77777777" w:rsidR="00BA596D" w:rsidRPr="00BA596D" w:rsidRDefault="00BA596D" w:rsidP="00BA596D">
      <w:pPr>
        <w:numPr>
          <w:ilvl w:val="0"/>
          <w:numId w:val="1"/>
        </w:numPr>
      </w:pPr>
      <w:r w:rsidRPr="00BA596D">
        <w:t>A base do funil ('Funil') apresentava alto grau de duplicidade inicialmente, com mais de 140 mil linhas redundantes. Após tratamento, restaram 18.342 registros únicos.</w:t>
      </w:r>
    </w:p>
    <w:p w14:paraId="0A479358" w14:textId="77777777" w:rsidR="00BA596D" w:rsidRPr="00BA596D" w:rsidRDefault="00BA596D" w:rsidP="00BA596D">
      <w:pPr>
        <w:numPr>
          <w:ilvl w:val="0"/>
          <w:numId w:val="1"/>
        </w:numPr>
      </w:pPr>
      <w:r w:rsidRPr="00BA596D">
        <w:t>Houve poucos campos ausentes na base principal e cerca de 2.965 registros incompletos na base do funil.</w:t>
      </w:r>
    </w:p>
    <w:p w14:paraId="76EC4ECA" w14:textId="77777777" w:rsidR="00BA596D" w:rsidRPr="00BA596D" w:rsidRDefault="00BA596D" w:rsidP="00BA596D">
      <w:pPr>
        <w:numPr>
          <w:ilvl w:val="0"/>
          <w:numId w:val="1"/>
        </w:numPr>
      </w:pPr>
      <w:r w:rsidRPr="00BA596D">
        <w:t>Identificou-se que a base de cobrança contém 5.398 alunos únicos, enquanto o funil de cobrança cobre apenas 4.382 desses alunos (gap de 1.016 alunos).</w:t>
      </w:r>
    </w:p>
    <w:p w14:paraId="62978195" w14:textId="77777777" w:rsidR="00BA596D" w:rsidRPr="00BA596D" w:rsidRDefault="00BA596D" w:rsidP="00BA596D">
      <w:pPr>
        <w:rPr>
          <w:b/>
          <w:bCs/>
          <w:sz w:val="28"/>
          <w:szCs w:val="28"/>
        </w:rPr>
      </w:pPr>
      <w:r w:rsidRPr="00BA596D">
        <w:rPr>
          <w:b/>
          <w:bCs/>
          <w:sz w:val="28"/>
          <w:szCs w:val="28"/>
        </w:rPr>
        <w:t>3. Principais Achados e Análises</w:t>
      </w:r>
    </w:p>
    <w:p w14:paraId="6953280A" w14:textId="77777777" w:rsidR="00BA596D" w:rsidRPr="00BA596D" w:rsidRDefault="00BA596D" w:rsidP="00BA596D">
      <w:pPr>
        <w:rPr>
          <w:b/>
          <w:bCs/>
        </w:rPr>
      </w:pPr>
      <w:r w:rsidRPr="00BA596D">
        <w:rPr>
          <w:b/>
          <w:bCs/>
        </w:rPr>
        <w:t>3.1 Inadimplência – Padrões e Tendências</w:t>
      </w:r>
    </w:p>
    <w:p w14:paraId="3633EB97" w14:textId="77777777" w:rsidR="00BA596D" w:rsidRPr="00BA596D" w:rsidRDefault="00BA596D" w:rsidP="00BA596D">
      <w:pPr>
        <w:numPr>
          <w:ilvl w:val="0"/>
          <w:numId w:val="2"/>
        </w:numPr>
      </w:pPr>
      <w:r w:rsidRPr="00BA596D">
        <w:rPr>
          <w:b/>
          <w:bCs/>
        </w:rPr>
        <w:t>A inadimplência é crescente ao longo do ciclo letivo,</w:t>
      </w:r>
      <w:r w:rsidRPr="00BA596D">
        <w:t> atingindo percentuais superiores a 22% nos últimos meses de cada ano analisado.</w:t>
      </w:r>
    </w:p>
    <w:p w14:paraId="00E1BF2D" w14:textId="77777777" w:rsidR="00BA596D" w:rsidRPr="00BA596D" w:rsidRDefault="00BA596D" w:rsidP="00BA596D">
      <w:pPr>
        <w:numPr>
          <w:ilvl w:val="0"/>
          <w:numId w:val="2"/>
        </w:numPr>
      </w:pPr>
      <w:r w:rsidRPr="00BA596D">
        <w:t>O valor absoluto em aberto passa de R$ 1,2 milhão nos meses críticos.</w:t>
      </w:r>
    </w:p>
    <w:p w14:paraId="6F6FC11D" w14:textId="77777777" w:rsidR="00BA596D" w:rsidRPr="00BA596D" w:rsidRDefault="00BA596D" w:rsidP="00BA596D">
      <w:pPr>
        <w:numPr>
          <w:ilvl w:val="0"/>
          <w:numId w:val="2"/>
        </w:numPr>
      </w:pPr>
      <w:r w:rsidRPr="00BA596D">
        <w:rPr>
          <w:b/>
          <w:bCs/>
        </w:rPr>
        <w:t>Sazonalidade:</w:t>
      </w:r>
      <w:r w:rsidRPr="00BA596D">
        <w:t> O agravamento ocorre do meio ao final do ano, reforçando a necessidade de ações preventivas antes dos meses de pico.</w:t>
      </w:r>
    </w:p>
    <w:p w14:paraId="2D507657" w14:textId="77777777" w:rsidR="00BA596D" w:rsidRPr="00BA596D" w:rsidRDefault="00BA596D" w:rsidP="00BA596D">
      <w:pPr>
        <w:numPr>
          <w:ilvl w:val="0"/>
          <w:numId w:val="2"/>
        </w:numPr>
      </w:pPr>
      <w:r w:rsidRPr="00BA596D">
        <w:rPr>
          <w:b/>
          <w:bCs/>
        </w:rPr>
        <w:lastRenderedPageBreak/>
        <w:t>Distribuição Geográfica:</w:t>
      </w:r>
      <w:r w:rsidRPr="00BA596D">
        <w:t> As regiões Centro-Oeste, Sul e Sudeste concentram as maiores taxas e valores de inadimplência, ultrapassando 20% nos principais polos.</w:t>
      </w:r>
    </w:p>
    <w:p w14:paraId="02D8AFEA" w14:textId="77777777" w:rsidR="00BA596D" w:rsidRPr="00BA596D" w:rsidRDefault="00BA596D" w:rsidP="00BA596D">
      <w:pPr>
        <w:numPr>
          <w:ilvl w:val="0"/>
          <w:numId w:val="2"/>
        </w:numPr>
      </w:pPr>
      <w:r w:rsidRPr="00BA596D">
        <w:rPr>
          <w:b/>
          <w:bCs/>
        </w:rPr>
        <w:t>Perfil por Série:</w:t>
      </w:r>
      <w:r w:rsidRPr="00BA596D">
        <w:t> Os anos finais do Ensino Fundamental e Médio concentram maior incidência de inadimplência, exigindo atenção e estratégias específicas para estes segmentos.</w:t>
      </w:r>
    </w:p>
    <w:p w14:paraId="4DE16259" w14:textId="77777777" w:rsidR="00BA596D" w:rsidRPr="00BA596D" w:rsidRDefault="00BA596D" w:rsidP="00BA596D">
      <w:pPr>
        <w:rPr>
          <w:b/>
          <w:bCs/>
        </w:rPr>
      </w:pPr>
      <w:r w:rsidRPr="00BA596D">
        <w:rPr>
          <w:b/>
          <w:bCs/>
        </w:rPr>
        <w:t>3.2 Cobertura e Gargalos do Funil de Cobrança</w:t>
      </w:r>
    </w:p>
    <w:p w14:paraId="5A86CEF8" w14:textId="77777777" w:rsidR="00BA596D" w:rsidRPr="00BA596D" w:rsidRDefault="00BA596D" w:rsidP="00BA596D">
      <w:pPr>
        <w:numPr>
          <w:ilvl w:val="0"/>
          <w:numId w:val="3"/>
        </w:numPr>
      </w:pPr>
      <w:r w:rsidRPr="00BA596D">
        <w:rPr>
          <w:b/>
          <w:bCs/>
        </w:rPr>
        <w:t>Cobertura do Funil:</w:t>
      </w:r>
      <w:r w:rsidRPr="00BA596D">
        <w:t> Aproximadamente 19% dos alunos inadimplentes nunca foram acionados pelo funil, representando potenciais perdas superiores a R$ 150 mil.</w:t>
      </w:r>
    </w:p>
    <w:p w14:paraId="34CCB6B9" w14:textId="77777777" w:rsidR="00BA596D" w:rsidRPr="00BA596D" w:rsidRDefault="00BA596D" w:rsidP="00BA596D">
      <w:pPr>
        <w:numPr>
          <w:ilvl w:val="0"/>
          <w:numId w:val="3"/>
        </w:numPr>
      </w:pPr>
      <w:r w:rsidRPr="00BA596D">
        <w:rPr>
          <w:b/>
          <w:bCs/>
        </w:rPr>
        <w:t>Por região:</w:t>
      </w:r>
      <w:r w:rsidRPr="00BA596D">
        <w:t xml:space="preserve"> Varia entre 16,8% e 27,3%, significativamente abaixo do desejado para um processo eficiente.</w:t>
      </w:r>
    </w:p>
    <w:p w14:paraId="2C8A97DF" w14:textId="77777777" w:rsidR="00BA596D" w:rsidRPr="00BA596D" w:rsidRDefault="00BA596D" w:rsidP="00BA596D">
      <w:pPr>
        <w:numPr>
          <w:ilvl w:val="0"/>
          <w:numId w:val="3"/>
        </w:numPr>
      </w:pPr>
      <w:r w:rsidRPr="00BA596D">
        <w:rPr>
          <w:b/>
          <w:bCs/>
        </w:rPr>
        <w:t>Por unidade:</w:t>
      </w:r>
      <w:r w:rsidRPr="00BA596D">
        <w:t xml:space="preserve"> Unidades de maior porte apresentam penetração semelhante à média regional, denotando desafio sistêmico.</w:t>
      </w:r>
    </w:p>
    <w:p w14:paraId="5BF121FC" w14:textId="77777777" w:rsidR="00BA596D" w:rsidRPr="00BA596D" w:rsidRDefault="00BA596D" w:rsidP="00BA596D">
      <w:pPr>
        <w:numPr>
          <w:ilvl w:val="0"/>
          <w:numId w:val="3"/>
        </w:numPr>
      </w:pPr>
      <w:r w:rsidRPr="00BA596D">
        <w:rPr>
          <w:b/>
          <w:bCs/>
        </w:rPr>
        <w:t>Por faixa de valor devido:</w:t>
      </w:r>
      <w:r w:rsidRPr="00BA596D">
        <w:t xml:space="preserve"> Alunos com débitos acima de R$ 10 mil têm as menores taxas de acionamento, com apenas 1,2% inseridos no funil.</w:t>
      </w:r>
    </w:p>
    <w:p w14:paraId="4CB1AC2E" w14:textId="77777777" w:rsidR="00BA596D" w:rsidRPr="00BA596D" w:rsidRDefault="00BA596D" w:rsidP="00BA596D">
      <w:pPr>
        <w:rPr>
          <w:b/>
          <w:bCs/>
        </w:rPr>
      </w:pPr>
      <w:r w:rsidRPr="00BA596D">
        <w:rPr>
          <w:b/>
          <w:bCs/>
        </w:rPr>
        <w:t>3.3 Perfil dos Grupos Prioritários</w:t>
      </w:r>
    </w:p>
    <w:p w14:paraId="57274AF5" w14:textId="77777777" w:rsidR="00BA596D" w:rsidRPr="00BA596D" w:rsidRDefault="00BA596D" w:rsidP="00BA596D">
      <w:pPr>
        <w:numPr>
          <w:ilvl w:val="0"/>
          <w:numId w:val="4"/>
        </w:numPr>
      </w:pPr>
      <w:r w:rsidRPr="00BA596D">
        <w:t>Alunos nunca acionados concentram-se nas regiões Sul, Sudeste e Norte, com 564 boletos inadimplentes e mais de R$ 150 mil em aberto.</w:t>
      </w:r>
    </w:p>
    <w:p w14:paraId="19738893" w14:textId="77777777" w:rsidR="00BA596D" w:rsidRPr="00BA596D" w:rsidRDefault="00BA596D" w:rsidP="00BA596D">
      <w:pPr>
        <w:numPr>
          <w:ilvl w:val="0"/>
          <w:numId w:val="4"/>
        </w:numPr>
      </w:pPr>
      <w:r w:rsidRPr="00BA596D">
        <w:t>Os principais segmentos desassistidos pelo funil incluem séries finais do ensino e grandes valores em aberto, potencializando riscos financeiros para a instituição.</w:t>
      </w:r>
    </w:p>
    <w:p w14:paraId="004B34A4" w14:textId="77777777" w:rsidR="00BA596D" w:rsidRPr="00BA596D" w:rsidRDefault="00BA596D" w:rsidP="00BA596D">
      <w:pPr>
        <w:rPr>
          <w:b/>
          <w:bCs/>
        </w:rPr>
      </w:pPr>
      <w:r w:rsidRPr="00BA596D">
        <w:rPr>
          <w:b/>
          <w:bCs/>
        </w:rPr>
        <w:t>3.4 Eficiência Relativa do Funil</w:t>
      </w:r>
    </w:p>
    <w:p w14:paraId="602F24C2" w14:textId="77777777" w:rsidR="00BA596D" w:rsidRPr="00BA596D" w:rsidRDefault="00BA596D" w:rsidP="00BA596D">
      <w:pPr>
        <w:numPr>
          <w:ilvl w:val="0"/>
          <w:numId w:val="5"/>
        </w:numPr>
      </w:pPr>
      <w:r w:rsidRPr="00BA596D">
        <w:t>A inadimplência percentual entre “nunca acionados” é levemente superior (20,9%) em comparação aos alunos já abordados pelo funil (19,0%).</w:t>
      </w:r>
    </w:p>
    <w:p w14:paraId="0BA214A0" w14:textId="77777777" w:rsidR="00BA596D" w:rsidRPr="00BA596D" w:rsidRDefault="00BA596D" w:rsidP="00BA596D">
      <w:pPr>
        <w:numPr>
          <w:ilvl w:val="0"/>
          <w:numId w:val="5"/>
        </w:numPr>
      </w:pPr>
      <w:r w:rsidRPr="00BA596D">
        <w:t>O ticket médio dos inadimplentes que já foram contactados pelo funil é substancialmente maior (R$ 796,13) do que o dos não contactados (R$ 264,13), apontando ineficiências na priorização dos casos de maior risco financeiro.</w:t>
      </w:r>
    </w:p>
    <w:p w14:paraId="63FE006F" w14:textId="77777777" w:rsidR="00BA596D" w:rsidRPr="00BA596D" w:rsidRDefault="00BA596D" w:rsidP="00BA596D">
      <w:pPr>
        <w:rPr>
          <w:b/>
          <w:bCs/>
          <w:sz w:val="28"/>
          <w:szCs w:val="28"/>
        </w:rPr>
      </w:pPr>
      <w:r w:rsidRPr="00BA596D">
        <w:rPr>
          <w:b/>
          <w:bCs/>
          <w:sz w:val="28"/>
          <w:szCs w:val="28"/>
        </w:rPr>
        <w:t>4. Recomendações Estratégicas</w:t>
      </w:r>
    </w:p>
    <w:p w14:paraId="22639903" w14:textId="77777777" w:rsidR="00BA596D" w:rsidRPr="00BA596D" w:rsidRDefault="00BA596D" w:rsidP="00BA596D">
      <w:pPr>
        <w:numPr>
          <w:ilvl w:val="0"/>
          <w:numId w:val="6"/>
        </w:numPr>
      </w:pPr>
      <w:r w:rsidRPr="00BA596D">
        <w:rPr>
          <w:b/>
          <w:bCs/>
        </w:rPr>
        <w:t>Ampliar e Automatizar o Funil de Cobrança</w:t>
      </w:r>
      <w:r w:rsidRPr="00BA596D">
        <w:br/>
        <w:t>Expandir o alcance do funil de cobrança, garantindo que 100% dos inadimplentes (em especial aqueles com maior valor devido) sejam acionados formalmente.</w:t>
      </w:r>
    </w:p>
    <w:p w14:paraId="61F1D723" w14:textId="77777777" w:rsidR="00BA596D" w:rsidRPr="00BA596D" w:rsidRDefault="00BA596D" w:rsidP="00BA596D">
      <w:pPr>
        <w:numPr>
          <w:ilvl w:val="0"/>
          <w:numId w:val="6"/>
        </w:numPr>
      </w:pPr>
      <w:r w:rsidRPr="00BA596D">
        <w:rPr>
          <w:b/>
          <w:bCs/>
        </w:rPr>
        <w:lastRenderedPageBreak/>
        <w:t>Segmentar Estratégias de Recuperação</w:t>
      </w:r>
      <w:r w:rsidRPr="00BA596D">
        <w:br/>
        <w:t>Direcionar esforços diferenciados para regiões, unidades e séries/anos com maior incidência e volume financeiro em aberto.</w:t>
      </w:r>
    </w:p>
    <w:p w14:paraId="15D74BC2" w14:textId="1670D3D4" w:rsidR="00BA596D" w:rsidRPr="00BA596D" w:rsidRDefault="00BA596D" w:rsidP="00BA596D">
      <w:pPr>
        <w:numPr>
          <w:ilvl w:val="0"/>
          <w:numId w:val="6"/>
        </w:numPr>
      </w:pPr>
      <w:r w:rsidRPr="00BA596D">
        <w:rPr>
          <w:b/>
          <w:bCs/>
        </w:rPr>
        <w:t>Priorizar Ações de Alto Impacto Financeiro</w:t>
      </w:r>
      <w:r w:rsidRPr="00BA596D">
        <w:br/>
        <w:t>Criar rotinas de acompanhamento específico para alunos e grupos com maiores dívidas, otimizando retorno sobre investimento das equipes e recursos.</w:t>
      </w:r>
    </w:p>
    <w:p w14:paraId="7F82167B" w14:textId="77777777" w:rsidR="00BA596D" w:rsidRPr="00BA596D" w:rsidRDefault="00BA596D" w:rsidP="00BA596D">
      <w:pPr>
        <w:numPr>
          <w:ilvl w:val="0"/>
          <w:numId w:val="6"/>
        </w:numPr>
      </w:pPr>
      <w:r w:rsidRPr="00BA596D">
        <w:rPr>
          <w:b/>
          <w:bCs/>
        </w:rPr>
        <w:t>Desenvolver Monitoramento via Dashboard Power BI</w:t>
      </w:r>
      <w:r w:rsidRPr="00BA596D">
        <w:br/>
        <w:t>Implantar os dashboards desenvolvidos para acompanhamento em tempo real dos indicadores de inadimplência, funil de cobrança e desempenho das ações corretivas.</w:t>
      </w:r>
    </w:p>
    <w:p w14:paraId="3CA5780D" w14:textId="77777777" w:rsidR="00BA596D" w:rsidRPr="00BA596D" w:rsidRDefault="00BA596D" w:rsidP="00BA596D">
      <w:pPr>
        <w:numPr>
          <w:ilvl w:val="0"/>
          <w:numId w:val="6"/>
        </w:numPr>
      </w:pPr>
      <w:r w:rsidRPr="00BA596D">
        <w:rPr>
          <w:b/>
          <w:bCs/>
        </w:rPr>
        <w:t>Aperfeiçoar Integração de Dados e Processos</w:t>
      </w:r>
      <w:r w:rsidRPr="00BA596D">
        <w:br/>
        <w:t>Refinar o registro e a integração entre o pipeline de cobrança e a base de dados, assegurando que eventos financeiros relevantes sejam monitorados desde o primeiro momento de atraso.</w:t>
      </w:r>
    </w:p>
    <w:p w14:paraId="32FB5EDE" w14:textId="77777777" w:rsidR="00BA596D" w:rsidRPr="00BA596D" w:rsidRDefault="00BA596D" w:rsidP="00BA596D">
      <w:pPr>
        <w:rPr>
          <w:b/>
          <w:bCs/>
          <w:sz w:val="28"/>
          <w:szCs w:val="28"/>
        </w:rPr>
      </w:pPr>
      <w:r w:rsidRPr="00BA596D">
        <w:rPr>
          <w:b/>
          <w:bCs/>
          <w:sz w:val="28"/>
          <w:szCs w:val="28"/>
        </w:rPr>
        <w:t>5. Conclusão e Próximos Passos</w:t>
      </w:r>
    </w:p>
    <w:p w14:paraId="707343CF" w14:textId="663AC28F" w:rsidR="00BA596D" w:rsidRPr="00BA596D" w:rsidRDefault="00BA596D" w:rsidP="00BA596D">
      <w:r w:rsidRPr="00BA596D">
        <w:t xml:space="preserve">Este diagnóstico detalhado oferece uma fotografia clara dos principais desafios e oportunidades de melhoria na gestão da inadimplência do Grupo </w:t>
      </w:r>
      <w:r w:rsidR="00C91917">
        <w:t>Escolar</w:t>
      </w:r>
      <w:r w:rsidRPr="00BA596D">
        <w:t>. Atingir maior abrangência e eficiência no processo de cobrança é fundamental para recuperar receita, aumentar a sustentabilidade financeira e fortalecer o relacionamento com a comunidade escolar.</w:t>
      </w:r>
    </w:p>
    <w:p w14:paraId="10FD6240" w14:textId="77777777" w:rsidR="00BA596D" w:rsidRPr="00BA596D" w:rsidRDefault="00BA596D" w:rsidP="00BA596D">
      <w:r w:rsidRPr="00BA596D">
        <w:rPr>
          <w:b/>
          <w:bCs/>
        </w:rPr>
        <w:t>Os próximos passos incluem:</w:t>
      </w:r>
    </w:p>
    <w:p w14:paraId="63AEE313" w14:textId="77777777" w:rsidR="00BA596D" w:rsidRPr="00BA596D" w:rsidRDefault="00BA596D" w:rsidP="00BA596D">
      <w:pPr>
        <w:numPr>
          <w:ilvl w:val="0"/>
          <w:numId w:val="7"/>
        </w:numPr>
      </w:pPr>
      <w:r w:rsidRPr="00BA596D">
        <w:t>Utilizar as bases tratadas no Power BI para construção de painéis dinâmicos;</w:t>
      </w:r>
    </w:p>
    <w:p w14:paraId="474A4816" w14:textId="77777777" w:rsidR="00BA596D" w:rsidRPr="00BA596D" w:rsidRDefault="00BA596D" w:rsidP="00BA596D">
      <w:pPr>
        <w:numPr>
          <w:ilvl w:val="0"/>
          <w:numId w:val="7"/>
        </w:numPr>
      </w:pPr>
      <w:r w:rsidRPr="00BA596D">
        <w:t>Realizar workshops de alinhamento com as áreas operacionais envolvidas;</w:t>
      </w:r>
    </w:p>
    <w:p w14:paraId="07BC5B52" w14:textId="77777777" w:rsidR="00BA596D" w:rsidRPr="00BA596D" w:rsidRDefault="00BA596D" w:rsidP="00BA596D">
      <w:pPr>
        <w:numPr>
          <w:ilvl w:val="0"/>
          <w:numId w:val="7"/>
        </w:numPr>
      </w:pPr>
      <w:r w:rsidRPr="00BA596D">
        <w:t>Definir plano de ação para execução das recomendações;</w:t>
      </w:r>
    </w:p>
    <w:p w14:paraId="60081EC5" w14:textId="77777777" w:rsidR="00BA596D" w:rsidRPr="00BA596D" w:rsidRDefault="00BA596D" w:rsidP="00BA596D">
      <w:pPr>
        <w:numPr>
          <w:ilvl w:val="0"/>
          <w:numId w:val="7"/>
        </w:numPr>
      </w:pPr>
      <w:r w:rsidRPr="00BA596D">
        <w:t>Buscar melhoria contínua na coleta, integração e análise dos dados financeiros, usando o BI como suporte à tomada de decisão.</w:t>
      </w:r>
    </w:p>
    <w:p w14:paraId="32915E6F" w14:textId="77777777" w:rsidR="00BA596D" w:rsidRPr="00BA596D" w:rsidRDefault="00BA596D" w:rsidP="00BA596D">
      <w:r w:rsidRPr="00BA596D">
        <w:rPr>
          <w:b/>
          <w:bCs/>
        </w:rPr>
        <w:t>Anexos:</w:t>
      </w:r>
    </w:p>
    <w:p w14:paraId="0DE08D43" w14:textId="77777777" w:rsidR="00BA596D" w:rsidRPr="00BA596D" w:rsidRDefault="00BA596D" w:rsidP="00BA596D">
      <w:pPr>
        <w:numPr>
          <w:ilvl w:val="0"/>
          <w:numId w:val="8"/>
        </w:numPr>
      </w:pPr>
      <w:r w:rsidRPr="00BA596D">
        <w:t>Dados tratados no formato csv (base</w:t>
      </w:r>
      <w:r w:rsidRPr="00BA596D">
        <w:rPr>
          <w:i/>
          <w:iCs/>
        </w:rPr>
        <w:t>clean.csv, funil</w:t>
      </w:r>
      <w:r w:rsidRPr="00BA596D">
        <w:t>clean.csv)</w:t>
      </w:r>
    </w:p>
    <w:p w14:paraId="7A97FB02" w14:textId="13670AFB" w:rsidR="00BA596D" w:rsidRDefault="00BA596D" w:rsidP="00BA596D">
      <w:pPr>
        <w:numPr>
          <w:ilvl w:val="0"/>
          <w:numId w:val="8"/>
        </w:numPr>
      </w:pPr>
      <w:r w:rsidRPr="00BA596D">
        <w:t xml:space="preserve">Dashboards Power BI </w:t>
      </w:r>
    </w:p>
    <w:p w14:paraId="3D20CB7A" w14:textId="3B826AFA" w:rsidR="00FA3758" w:rsidRPr="00BA596D" w:rsidRDefault="00FA3758" w:rsidP="00BA596D">
      <w:pPr>
        <w:numPr>
          <w:ilvl w:val="0"/>
          <w:numId w:val="8"/>
        </w:numPr>
      </w:pPr>
      <w:r>
        <w:t>Google colab com EDA feito em Python</w:t>
      </w:r>
    </w:p>
    <w:p w14:paraId="2B2D80D0" w14:textId="77777777" w:rsidR="00BA596D" w:rsidRDefault="00BA596D"/>
    <w:sectPr w:rsidR="00BA5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E06FE"/>
    <w:multiLevelType w:val="multilevel"/>
    <w:tmpl w:val="DF14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C7242"/>
    <w:multiLevelType w:val="multilevel"/>
    <w:tmpl w:val="47B4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40BC9"/>
    <w:multiLevelType w:val="multilevel"/>
    <w:tmpl w:val="9AB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745D6"/>
    <w:multiLevelType w:val="multilevel"/>
    <w:tmpl w:val="C40E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FA5213"/>
    <w:multiLevelType w:val="multilevel"/>
    <w:tmpl w:val="CF50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233BA8"/>
    <w:multiLevelType w:val="multilevel"/>
    <w:tmpl w:val="A4E6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14147C"/>
    <w:multiLevelType w:val="multilevel"/>
    <w:tmpl w:val="1652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852D7E"/>
    <w:multiLevelType w:val="multilevel"/>
    <w:tmpl w:val="F1FA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3791204">
    <w:abstractNumId w:val="6"/>
  </w:num>
  <w:num w:numId="2" w16cid:durableId="472676230">
    <w:abstractNumId w:val="1"/>
  </w:num>
  <w:num w:numId="3" w16cid:durableId="510949572">
    <w:abstractNumId w:val="3"/>
  </w:num>
  <w:num w:numId="4" w16cid:durableId="1598638326">
    <w:abstractNumId w:val="5"/>
  </w:num>
  <w:num w:numId="5" w16cid:durableId="297418873">
    <w:abstractNumId w:val="4"/>
  </w:num>
  <w:num w:numId="6" w16cid:durableId="295182221">
    <w:abstractNumId w:val="0"/>
  </w:num>
  <w:num w:numId="7" w16cid:durableId="521286247">
    <w:abstractNumId w:val="2"/>
  </w:num>
  <w:num w:numId="8" w16cid:durableId="1380935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6D"/>
    <w:rsid w:val="0027135E"/>
    <w:rsid w:val="006D3FF2"/>
    <w:rsid w:val="00921919"/>
    <w:rsid w:val="00954B75"/>
    <w:rsid w:val="00A223D4"/>
    <w:rsid w:val="00BA596D"/>
    <w:rsid w:val="00C91917"/>
    <w:rsid w:val="00FA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6491"/>
  <w15:chartTrackingRefBased/>
  <w15:docId w15:val="{8506D254-05D9-49E8-A936-C386A8B9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5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5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5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5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5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5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5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5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5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5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59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59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59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59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59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59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5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59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59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59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5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59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5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847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Vale</dc:creator>
  <cp:keywords/>
  <dc:description/>
  <cp:lastModifiedBy>Andres Vale</cp:lastModifiedBy>
  <cp:revision>3</cp:revision>
  <dcterms:created xsi:type="dcterms:W3CDTF">2025-08-01T15:43:00Z</dcterms:created>
  <dcterms:modified xsi:type="dcterms:W3CDTF">2025-08-15T22:08:00Z</dcterms:modified>
</cp:coreProperties>
</file>