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https://nohfc.ca/en/pages/programs/cultural-supports-program/film-television-stream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Bdr>
          <w:top w:color="auto" w:space="11" w:sz="0" w:val="none"/>
        </w:pBdr>
        <w:shd w:fill="ffffff" w:val="clear"/>
        <w:spacing w:before="480" w:lineRule="auto"/>
        <w:rPr/>
      </w:pPr>
      <w:r w:rsidDel="00000000" w:rsidR="00000000" w:rsidRPr="00000000">
        <w:rPr>
          <w:rtl w:val="0"/>
        </w:rPr>
        <w:t xml:space="preserve">Film &amp; Television Stream</w:t>
      </w:r>
    </w:p>
    <w:p w:rsidR="00000000" w:rsidDel="00000000" w:rsidP="00000000" w:rsidRDefault="00000000" w:rsidRPr="00000000" w14:paraId="00000004">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Film and Television Stream is designed to increase film and television industry jobs and investment and to increase quality, original film and television productions produced in Northern Ontario, while showcasing its culture, geography, stories and talent.</w:t>
      </w:r>
    </w:p>
    <w:p w:rsidR="00000000" w:rsidDel="00000000" w:rsidP="00000000" w:rsidRDefault="00000000" w:rsidRPr="00000000" w14:paraId="00000005">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06">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Film and Television Stream is open to production companies who are passionate about growing and supporting the industry in Northern Ontario.</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The production company must be a Canadian corporation which is Canadian controlled</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production company must own all, or a majority of the rights necessary to exploit and produce the production.</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Applicants must receive a producer credit on the project.</w:t>
      </w:r>
    </w:p>
    <w:p w:rsidR="00000000" w:rsidDel="00000000" w:rsidP="00000000" w:rsidRDefault="00000000" w:rsidRPr="00000000" w14:paraId="0000000A">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There are four application intake rounds: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Fonts w:ascii="Roboto" w:cs="Roboto" w:eastAsia="Roboto" w:hAnsi="Roboto"/>
          <w:b w:val="1"/>
          <w:color w:val="202020"/>
          <w:sz w:val="24"/>
          <w:szCs w:val="24"/>
          <w:rtl w:val="0"/>
        </w:rPr>
        <w:t xml:space="preserve">Round 1:</w:t>
      </w:r>
      <w:r w:rsidDel="00000000" w:rsidR="00000000" w:rsidRPr="00000000">
        <w:rPr>
          <w:rFonts w:ascii="Roboto" w:cs="Roboto" w:eastAsia="Roboto" w:hAnsi="Roboto"/>
          <w:color w:val="202020"/>
          <w:sz w:val="24"/>
          <w:szCs w:val="24"/>
          <w:rtl w:val="0"/>
        </w:rPr>
        <w:t xml:space="preserve"> Application intake period: February 1 - April 30</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202020"/>
          <w:sz w:val="24"/>
          <w:szCs w:val="24"/>
          <w:rtl w:val="0"/>
        </w:rPr>
        <w:t xml:space="preserve">Round 2:</w:t>
      </w:r>
      <w:r w:rsidDel="00000000" w:rsidR="00000000" w:rsidRPr="00000000">
        <w:rPr>
          <w:rFonts w:ascii="Roboto" w:cs="Roboto" w:eastAsia="Roboto" w:hAnsi="Roboto"/>
          <w:color w:val="202020"/>
          <w:sz w:val="24"/>
          <w:szCs w:val="24"/>
          <w:rtl w:val="0"/>
        </w:rPr>
        <w:t xml:space="preserve"> Application intake period: May1 - July 31</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202020"/>
          <w:sz w:val="24"/>
          <w:szCs w:val="24"/>
          <w:rtl w:val="0"/>
        </w:rPr>
        <w:t xml:space="preserve">Round 3:</w:t>
      </w:r>
      <w:r w:rsidDel="00000000" w:rsidR="00000000" w:rsidRPr="00000000">
        <w:rPr>
          <w:rFonts w:ascii="Roboto" w:cs="Roboto" w:eastAsia="Roboto" w:hAnsi="Roboto"/>
          <w:color w:val="202020"/>
          <w:sz w:val="24"/>
          <w:szCs w:val="24"/>
          <w:rtl w:val="0"/>
        </w:rPr>
        <w:t xml:space="preserve"> Application intake period: August 1 - October 31</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Fonts w:ascii="Roboto" w:cs="Roboto" w:eastAsia="Roboto" w:hAnsi="Roboto"/>
          <w:b w:val="1"/>
          <w:color w:val="202020"/>
          <w:sz w:val="24"/>
          <w:szCs w:val="24"/>
          <w:rtl w:val="0"/>
        </w:rPr>
        <w:t xml:space="preserve">Round 4:</w:t>
      </w:r>
      <w:r w:rsidDel="00000000" w:rsidR="00000000" w:rsidRPr="00000000">
        <w:rPr>
          <w:rFonts w:ascii="Roboto" w:cs="Roboto" w:eastAsia="Roboto" w:hAnsi="Roboto"/>
          <w:color w:val="202020"/>
          <w:sz w:val="24"/>
          <w:szCs w:val="24"/>
          <w:rtl w:val="0"/>
        </w:rPr>
        <w:t xml:space="preserve"> Application intake period: November 1 - January 31</w:t>
      </w:r>
    </w:p>
    <w:p w:rsidR="00000000" w:rsidDel="00000000" w:rsidP="00000000" w:rsidRDefault="00000000" w:rsidRPr="00000000" w14:paraId="0000000F">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10">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Types of eligible projects include: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Theatrical feature films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Scripted television series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Made-for-television movies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Documentaries</w:t>
      </w:r>
    </w:p>
    <w:p w:rsidR="00000000" w:rsidDel="00000000" w:rsidP="00000000" w:rsidRDefault="00000000" w:rsidRPr="00000000" w14:paraId="00000015">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16">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Film and Television Stream is designed to encourage quality media productions that will raise the profile of Northern Ontario. Priority will be given to productions featuring Northern Ontario culture and stories, Northern Ontario talent, and which are set in Northern Ontario.</w:t>
      </w:r>
    </w:p>
    <w:p w:rsidR="00000000" w:rsidDel="00000000" w:rsidP="00000000" w:rsidRDefault="00000000" w:rsidRPr="00000000" w14:paraId="00000017">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decisions are based on the project’s Northern Ontario Benefits and Production Strength.</w:t>
      </w:r>
    </w:p>
    <w:p w:rsidR="00000000" w:rsidDel="00000000" w:rsidP="00000000" w:rsidRDefault="00000000" w:rsidRPr="00000000" w14:paraId="0000001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w:t>
      </w:r>
      <w:r w:rsidDel="00000000" w:rsidR="00000000" w:rsidRPr="00000000">
        <w:rPr>
          <w:rFonts w:ascii="Roboto" w:cs="Roboto" w:eastAsia="Roboto" w:hAnsi="Roboto"/>
          <w:i w:val="1"/>
          <w:color w:val="202020"/>
          <w:sz w:val="24"/>
          <w:szCs w:val="24"/>
          <w:rtl w:val="0"/>
        </w:rPr>
        <w:t xml:space="preserve">Northern Benefits</w:t>
      </w:r>
      <w:r w:rsidDel="00000000" w:rsidR="00000000" w:rsidRPr="00000000">
        <w:rPr>
          <w:rFonts w:ascii="Roboto" w:cs="Roboto" w:eastAsia="Roboto" w:hAnsi="Roboto"/>
          <w:color w:val="202020"/>
          <w:sz w:val="24"/>
          <w:szCs w:val="24"/>
          <w:rtl w:val="0"/>
        </w:rPr>
        <w:t xml:space="preserve"> assessment is important to determine the economic aspects of the project that will directly impact the Northern Ontario Industry, such as: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Projected expenditures in Northern Ontario, including employment potential;</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Length of shoot;</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Post-production sourced from northern Ontario;</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Training with northern post-secondary institutions;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Key creative positions from northern Ontario;</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Previous history of working in northern Ontario;</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Cultural significance of the project to Northern Ontario;</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story showcasing northern Ontario; and</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Other significant benefits as presented.</w:t>
      </w:r>
    </w:p>
    <w:p w:rsidR="00000000" w:rsidDel="00000000" w:rsidP="00000000" w:rsidRDefault="00000000" w:rsidRPr="00000000" w14:paraId="00000022">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w:t>
      </w:r>
      <w:r w:rsidDel="00000000" w:rsidR="00000000" w:rsidRPr="00000000">
        <w:rPr>
          <w:rFonts w:ascii="Roboto" w:cs="Roboto" w:eastAsia="Roboto" w:hAnsi="Roboto"/>
          <w:i w:val="1"/>
          <w:color w:val="202020"/>
          <w:sz w:val="24"/>
          <w:szCs w:val="24"/>
          <w:rtl w:val="0"/>
        </w:rPr>
        <w:t xml:space="preserve">Production Strength</w:t>
      </w:r>
      <w:r w:rsidDel="00000000" w:rsidR="00000000" w:rsidRPr="00000000">
        <w:rPr>
          <w:rFonts w:ascii="Roboto" w:cs="Roboto" w:eastAsia="Roboto" w:hAnsi="Roboto"/>
          <w:color w:val="202020"/>
          <w:sz w:val="24"/>
          <w:szCs w:val="24"/>
          <w:rtl w:val="0"/>
        </w:rPr>
        <w:t xml:space="preserve"> assessment is important to determine the applicant’s level of sophistication and ability to produce and deliver the project including:</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The feasibility of the project with respect to budget, financing, scope, experience of key project leads, and distribution plan.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marquee value of the budgeted cast and level of creative content</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The credibility of the marketing plan and the distributor’s capacity and commitment to the project and track record of success</w:t>
      </w:r>
    </w:p>
    <w:p w:rsidR="00000000" w:rsidDel="00000000" w:rsidP="00000000" w:rsidRDefault="00000000" w:rsidRPr="00000000" w14:paraId="00000026">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Productions must meet appropriate quality-acceptance standards for broadcast and distribution. Documentaries must strive for journalistic integrity.</w:t>
      </w:r>
    </w:p>
    <w:p w:rsidR="00000000" w:rsidDel="00000000" w:rsidP="00000000" w:rsidRDefault="00000000" w:rsidRPr="00000000" w14:paraId="00000027">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reserves the right to apply its final judgement in these regards. 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28">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29">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NOHFC funding is based on the project’s total level of spending in Northern Ontario. NOHFC provides assistance in the form of a conditional contribution up to 50% of eligible costs to a maximum capped on a tiered basis according to the total northern spend:</w:t>
      </w:r>
    </w:p>
    <w:tbl>
      <w:tblPr>
        <w:tblStyle w:val="Table1"/>
        <w:tblW w:w="584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40"/>
        <w:gridCol w:w="3005"/>
        <w:tblGridChange w:id="0">
          <w:tblGrid>
            <w:gridCol w:w="2840"/>
            <w:gridCol w:w="3005"/>
          </w:tblGrid>
        </w:tblGridChange>
      </w:tblGrid>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Total Production Budget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Potential Level of Support</w:t>
            </w:r>
            <w:r w:rsidDel="00000000" w:rsidR="00000000" w:rsidRPr="00000000">
              <w:rPr>
                <w:rtl w:val="0"/>
              </w:rPr>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Up to $5 million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Up to $500,000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$5 million - $10 million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Up to $1,000,000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$10 million and above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Up to $2,000,000</w:t>
            </w:r>
          </w:p>
        </w:tc>
      </w:tr>
    </w:tbl>
    <w:p w:rsidR="00000000" w:rsidDel="00000000" w:rsidP="00000000" w:rsidRDefault="00000000" w:rsidRPr="00000000" w14:paraId="00000032">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Project costs that are eligible for NOHFC funding include all costs of production that are spent in Northern Ontario, including labour costs, production goods and services, and post-production costs.</w:t>
      </w:r>
    </w:p>
    <w:p w:rsidR="00000000" w:rsidDel="00000000" w:rsidP="00000000" w:rsidRDefault="00000000" w:rsidRPr="00000000" w14:paraId="00000033">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34">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Types of ineligible projects include, but are not limited to:</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Unscripted media content, such as reality TV, live sports, news or improvisational comedy</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Advertisements, partisan content, fundraising videos, or industry videos not meant for broader consumption</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Productions containing excessive violence or sexually explicit content, that encourage hatred, intolerance, violence or criminal activity.</w:t>
      </w:r>
    </w:p>
    <w:p w:rsidR="00000000" w:rsidDel="00000000" w:rsidP="00000000" w:rsidRDefault="00000000" w:rsidRPr="00000000" w14:paraId="0000003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following costs are ineligible for NOHFC support:</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Costs spent outside of Northern Ontario</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Brokerage of goods and services from outside of Northern Ontario by intermediaries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Operational expenses for a media company</w:t>
      </w:r>
    </w:p>
    <w:p w:rsidR="00000000" w:rsidDel="00000000" w:rsidP="00000000" w:rsidRDefault="00000000" w:rsidRPr="00000000" w14:paraId="0000003C">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3D">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holds four application intake rounds during the year for the Film and Television Stream.</w:t>
      </w:r>
    </w:p>
    <w:p w:rsidR="00000000" w:rsidDel="00000000" w:rsidP="00000000" w:rsidRDefault="00000000" w:rsidRPr="00000000" w14:paraId="0000003E">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Applicants must provide evidence of the availability of all other project financing with terms and conditions satisfactory to the NOHFC, at the time of application.</w:t>
      </w:r>
    </w:p>
    <w:p w:rsidR="00000000" w:rsidDel="00000000" w:rsidP="00000000" w:rsidRDefault="00000000" w:rsidRPr="00000000" w14:paraId="0000003F">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project must have secured a written commitment letter from a qualified and experienced distributor or broadcaster, satisfactory to the NOHFC, at the time of application.</w:t>
      </w:r>
    </w:p>
    <w:p w:rsidR="00000000" w:rsidDel="00000000" w:rsidP="00000000" w:rsidRDefault="00000000" w:rsidRPr="00000000" w14:paraId="00000040">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Applications will be reviewed by NOHFC staff for completeness and eligibility.</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hfc.ca/en/pages/programs/cultural-supports-program/film-television-str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