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https://www.wd-deo.gc.ca/eng/19762.asp</w:t>
        </w:r>
      </w:hyperlink>
      <w:r w:rsidDel="00000000" w:rsidR="00000000" w:rsidRPr="00000000">
        <w:rPr>
          <w:rtl w:val="0"/>
        </w:rPr>
      </w:r>
    </w:p>
    <w:p w:rsidR="00000000" w:rsidDel="00000000" w:rsidP="00000000" w:rsidRDefault="00000000" w:rsidRPr="00000000" w14:paraId="00000002">
      <w:pPr>
        <w:keepNext w:val="0"/>
        <w:keepLines w:val="0"/>
        <w:pBdr>
          <w:bottom w:color="af3c43" w:space="4" w:sz="6" w:val="single"/>
        </w:pBdr>
        <w:shd w:fill="ffffff" w:val="clear"/>
        <w:spacing w:after="100" w:before="460" w:line="264" w:lineRule="auto"/>
        <w:rPr/>
      </w:pPr>
      <w:r w:rsidDel="00000000" w:rsidR="00000000" w:rsidRPr="00000000">
        <w:rPr>
          <w:rtl w:val="0"/>
        </w:rPr>
        <w:t xml:space="preserve">Business Scale-up and Productivity in Western Canada</w:t>
      </w:r>
    </w:p>
    <w:p w:rsidR="00000000" w:rsidDel="00000000" w:rsidP="00000000" w:rsidRDefault="00000000" w:rsidRPr="00000000" w14:paraId="00000003">
      <w:pPr>
        <w:numPr>
          <w:ilvl w:val="1"/>
          <w:numId w:val="2"/>
        </w:numPr>
        <w:spacing w:after="0" w:afterAutospacing="0" w:lineRule="auto"/>
        <w:ind w:left="1800" w:hanging="360"/>
      </w:pPr>
      <w:hyperlink r:id="rId7">
        <w:r w:rsidDel="00000000" w:rsidR="00000000" w:rsidRPr="00000000">
          <w:rPr>
            <w:color w:val="284162"/>
            <w:sz w:val="30"/>
            <w:szCs w:val="30"/>
            <w:u w:val="single"/>
            <w:shd w:fill="d9edf7" w:val="clear"/>
            <w:rtl w:val="0"/>
          </w:rPr>
          <w:t xml:space="preserve">Up-to-date content for Alberta, Saskatchewan and Manitoba is available from PrairiesCan here.</w:t>
        </w:r>
      </w:hyperlink>
      <w:r w:rsidDel="00000000" w:rsidR="00000000" w:rsidRPr="00000000">
        <w:rPr>
          <w:rtl w:val="0"/>
        </w:rPr>
      </w:r>
    </w:p>
    <w:p w:rsidR="00000000" w:rsidDel="00000000" w:rsidP="00000000" w:rsidRDefault="00000000" w:rsidRPr="00000000" w14:paraId="00000004">
      <w:pPr>
        <w:numPr>
          <w:ilvl w:val="1"/>
          <w:numId w:val="2"/>
        </w:numPr>
        <w:spacing w:after="340" w:lineRule="auto"/>
        <w:ind w:left="1800" w:hanging="360"/>
      </w:pPr>
      <w:hyperlink r:id="rId8">
        <w:r w:rsidDel="00000000" w:rsidR="00000000" w:rsidRPr="00000000">
          <w:rPr>
            <w:color w:val="284162"/>
            <w:sz w:val="30"/>
            <w:szCs w:val="30"/>
            <w:u w:val="single"/>
            <w:shd w:fill="d9edf7" w:val="clear"/>
            <w:rtl w:val="0"/>
          </w:rPr>
          <w:t xml:space="preserve">Up-to-date content for British Columbia is available from PacifiCan here.</w:t>
        </w:r>
      </w:hyperlink>
      <w:r w:rsidDel="00000000" w:rsidR="00000000" w:rsidRPr="00000000">
        <w:rPr>
          <w:rtl w:val="0"/>
        </w:rPr>
      </w:r>
    </w:p>
    <w:p w:rsidR="00000000" w:rsidDel="00000000" w:rsidP="00000000" w:rsidRDefault="00000000" w:rsidRPr="00000000" w14:paraId="00000005">
      <w:pPr>
        <w:shd w:fill="d9edf7" w:val="clear"/>
        <w:spacing w:after="340" w:lineRule="auto"/>
        <w:ind w:left="360" w:firstLine="0"/>
        <w:rPr>
          <w:color w:val="31708f"/>
          <w:sz w:val="30"/>
          <w:szCs w:val="30"/>
          <w:highlight w:val="white"/>
        </w:rPr>
      </w:pPr>
      <w:r w:rsidDel="00000000" w:rsidR="00000000" w:rsidRPr="00000000">
        <w:rPr>
          <w:color w:val="31708f"/>
          <w:sz w:val="30"/>
          <w:szCs w:val="30"/>
          <w:highlight w:val="white"/>
          <w:rtl w:val="0"/>
        </w:rPr>
        <w:t xml:space="preserve">Please note that the Business Scale-up and Productivity program expression of interest intake closed on April 14, 2021, 2:00 pm MDT.</w:t>
      </w:r>
    </w:p>
    <w:p w:rsidR="00000000" w:rsidDel="00000000" w:rsidP="00000000" w:rsidRDefault="00000000" w:rsidRPr="00000000" w14:paraId="00000006">
      <w:pPr>
        <w:shd w:fill="d9edf7" w:val="clear"/>
        <w:spacing w:after="340" w:before="80" w:lineRule="auto"/>
        <w:rPr>
          <w:color w:val="31708f"/>
          <w:sz w:val="30"/>
          <w:szCs w:val="30"/>
          <w:highlight w:val="white"/>
        </w:rPr>
      </w:pPr>
      <w:r w:rsidDel="00000000" w:rsidR="00000000" w:rsidRPr="00000000">
        <w:rPr>
          <w:color w:val="31708f"/>
          <w:sz w:val="30"/>
          <w:szCs w:val="30"/>
          <w:highlight w:val="white"/>
          <w:rtl w:val="0"/>
        </w:rPr>
        <w:t xml:space="preserve">For information on other available business support, please visit </w:t>
      </w:r>
      <w:hyperlink r:id="rId9">
        <w:r w:rsidDel="00000000" w:rsidR="00000000" w:rsidRPr="00000000">
          <w:rPr>
            <w:color w:val="284162"/>
            <w:sz w:val="30"/>
            <w:szCs w:val="30"/>
            <w:highlight w:val="white"/>
            <w:u w:val="single"/>
            <w:rtl w:val="0"/>
          </w:rPr>
          <w:t xml:space="preserve">Innovation Canada</w:t>
        </w:r>
      </w:hyperlink>
      <w:r w:rsidDel="00000000" w:rsidR="00000000" w:rsidRPr="00000000">
        <w:rPr>
          <w:color w:val="31708f"/>
          <w:sz w:val="30"/>
          <w:szCs w:val="30"/>
          <w:highlight w:val="white"/>
          <w:rtl w:val="0"/>
        </w:rPr>
        <w:t xml:space="preserve">.</w:t>
      </w:r>
    </w:p>
    <w:p w:rsidR="00000000" w:rsidDel="00000000" w:rsidP="00000000" w:rsidRDefault="00000000" w:rsidRPr="00000000" w14:paraId="00000007">
      <w:pPr>
        <w:spacing w:after="180" w:lineRule="auto"/>
        <w:rPr>
          <w:color w:val="333333"/>
          <w:sz w:val="30"/>
          <w:szCs w:val="30"/>
          <w:highlight w:val="white"/>
        </w:rPr>
      </w:pPr>
      <w:r w:rsidDel="00000000" w:rsidR="00000000" w:rsidRPr="00000000">
        <w:rPr>
          <w:color w:val="333333"/>
          <w:sz w:val="30"/>
          <w:szCs w:val="30"/>
          <w:highlight w:val="white"/>
          <w:rtl w:val="0"/>
        </w:rPr>
        <w:t xml:space="preserve">Western Economic Diversification Canada (WD) makes strategic investments in key economic sectors and also supports the development of leading industry geographic clusters through its Business Scale-up and Productivity (BSP) program.</w:t>
      </w:r>
    </w:p>
    <w:p w:rsidR="00000000" w:rsidDel="00000000" w:rsidP="00000000" w:rsidRDefault="00000000" w:rsidRPr="00000000" w14:paraId="00000008">
      <w:pPr>
        <w:spacing w:after="180" w:lineRule="auto"/>
        <w:rPr>
          <w:color w:val="333333"/>
          <w:sz w:val="30"/>
          <w:szCs w:val="30"/>
          <w:highlight w:val="white"/>
        </w:rPr>
      </w:pPr>
      <w:r w:rsidDel="00000000" w:rsidR="00000000" w:rsidRPr="00000000">
        <w:rPr>
          <w:color w:val="333333"/>
          <w:sz w:val="30"/>
          <w:szCs w:val="30"/>
          <w:highlight w:val="white"/>
          <w:rtl w:val="0"/>
        </w:rPr>
        <w:t xml:space="preserve">BSP supports high-growth* businesses that are scaling up and producing innovative goods, services or technologies. It offers interest free repayable funding to incorporated businesses.</w:t>
      </w:r>
    </w:p>
    <w:p w:rsidR="00000000" w:rsidDel="00000000" w:rsidP="00000000" w:rsidRDefault="00000000" w:rsidRPr="00000000" w14:paraId="00000009">
      <w:pPr>
        <w:spacing w:after="80" w:lineRule="auto"/>
        <w:rPr>
          <w:color w:val="295376"/>
          <w:sz w:val="30"/>
          <w:szCs w:val="30"/>
          <w:highlight w:val="white"/>
        </w:rPr>
      </w:pPr>
      <w:r w:rsidDel="00000000" w:rsidR="00000000" w:rsidRPr="00000000">
        <w:rPr>
          <w:color w:val="295376"/>
          <w:sz w:val="30"/>
          <w:szCs w:val="30"/>
          <w:highlight w:val="white"/>
          <w:rtl w:val="0"/>
        </w:rPr>
        <w:t xml:space="preserve">*Definition of a “high-growth business”</w:t>
      </w:r>
    </w:p>
    <w:p w:rsidR="00000000" w:rsidDel="00000000" w:rsidP="00000000" w:rsidRDefault="00000000" w:rsidRPr="00000000" w14:paraId="0000000A">
      <w:pPr>
        <w:spacing w:after="260" w:lineRule="auto"/>
        <w:rPr>
          <w:color w:val="333333"/>
          <w:sz w:val="30"/>
          <w:szCs w:val="30"/>
          <w:highlight w:val="white"/>
        </w:rPr>
      </w:pPr>
      <w:r w:rsidDel="00000000" w:rsidR="00000000" w:rsidRPr="00000000">
        <w:rPr>
          <w:color w:val="333333"/>
          <w:sz w:val="30"/>
          <w:szCs w:val="30"/>
          <w:highlight w:val="white"/>
          <w:rtl w:val="0"/>
        </w:rPr>
        <w:t xml:space="preserve">A high growth business can be defined as any for-profit company that has notable and/or consistent revenue increases year over year. Typically, this means an increase of at least 20% year over year. Businesses that are negatively impacted by the current pandemic would be eligible if they met this definition prior to March 31, 2020.</w:t>
      </w:r>
    </w:p>
    <w:p w:rsidR="00000000" w:rsidDel="00000000" w:rsidP="00000000" w:rsidRDefault="00000000" w:rsidRPr="00000000" w14:paraId="0000000B">
      <w:pPr>
        <w:spacing w:after="260" w:lineRule="auto"/>
        <w:rPr>
          <w:color w:val="333333"/>
          <w:sz w:val="30"/>
          <w:szCs w:val="30"/>
          <w:highlight w:val="white"/>
        </w:rPr>
      </w:pPr>
      <w:r w:rsidDel="00000000" w:rsidR="00000000" w:rsidRPr="00000000">
        <w:rPr>
          <w:color w:val="333333"/>
          <w:sz w:val="30"/>
          <w:szCs w:val="30"/>
          <w:highlight w:val="white"/>
          <w:rtl w:val="0"/>
        </w:rPr>
        <w:t xml:space="preserve">Here are examples of a high-growth business:</w:t>
      </w:r>
    </w:p>
    <w:p w:rsidR="00000000" w:rsidDel="00000000" w:rsidP="00000000" w:rsidRDefault="00000000" w:rsidRPr="00000000" w14:paraId="0000000C">
      <w:pPr>
        <w:spacing w:after="260" w:lineRule="auto"/>
        <w:rPr>
          <w:b w:val="1"/>
          <w:color w:val="333333"/>
          <w:sz w:val="30"/>
          <w:szCs w:val="30"/>
          <w:highlight w:val="white"/>
        </w:rPr>
      </w:pPr>
      <w:r w:rsidDel="00000000" w:rsidR="00000000" w:rsidRPr="00000000">
        <w:rPr>
          <w:b w:val="1"/>
          <w:color w:val="333333"/>
          <w:sz w:val="30"/>
          <w:szCs w:val="30"/>
          <w:highlight w:val="white"/>
          <w:rtl w:val="0"/>
        </w:rPr>
        <w:t xml:space="preserve">Example 1:</w:t>
      </w:r>
    </w:p>
    <w:p w:rsidR="00000000" w:rsidDel="00000000" w:rsidP="00000000" w:rsidRDefault="00000000" w:rsidRPr="00000000" w14:paraId="0000000D">
      <w:pPr>
        <w:spacing w:after="260" w:lineRule="auto"/>
        <w:rPr>
          <w:color w:val="333333"/>
          <w:sz w:val="30"/>
          <w:szCs w:val="30"/>
          <w:highlight w:val="white"/>
        </w:rPr>
      </w:pPr>
      <w:r w:rsidDel="00000000" w:rsidR="00000000" w:rsidRPr="00000000">
        <w:rPr>
          <w:color w:val="333333"/>
          <w:sz w:val="30"/>
          <w:szCs w:val="30"/>
          <w:highlight w:val="white"/>
          <w:rtl w:val="0"/>
        </w:rPr>
        <w:t xml:space="preserve">ABC is an innovative Canadian medical devices firm. ABC is a relatively young company operating in North America and would like to expand its product into new markets like Europe and Asia. ABC has generated significant sales growth (i.e. 26% year over year). ABC has profitable reinvestment opportunities and, rather than paying dividends to shareholders, decides to reinvest earnings back into the firm to capitalize on its investment opportunities in order to maintain this high sales growth.</w:t>
      </w:r>
    </w:p>
    <w:p w:rsidR="00000000" w:rsidDel="00000000" w:rsidP="00000000" w:rsidRDefault="00000000" w:rsidRPr="00000000" w14:paraId="0000000E">
      <w:pPr>
        <w:spacing w:after="260" w:lineRule="auto"/>
        <w:rPr>
          <w:b w:val="1"/>
          <w:color w:val="333333"/>
          <w:sz w:val="30"/>
          <w:szCs w:val="30"/>
          <w:highlight w:val="white"/>
        </w:rPr>
      </w:pPr>
      <w:r w:rsidDel="00000000" w:rsidR="00000000" w:rsidRPr="00000000">
        <w:rPr>
          <w:b w:val="1"/>
          <w:color w:val="333333"/>
          <w:sz w:val="30"/>
          <w:szCs w:val="30"/>
          <w:highlight w:val="white"/>
          <w:rtl w:val="0"/>
        </w:rPr>
        <w:t xml:space="preserve">Example 2:</w:t>
      </w:r>
    </w:p>
    <w:p w:rsidR="00000000" w:rsidDel="00000000" w:rsidP="00000000" w:rsidRDefault="00000000" w:rsidRPr="00000000" w14:paraId="0000000F">
      <w:pPr>
        <w:spacing w:after="260" w:lineRule="auto"/>
        <w:rPr>
          <w:color w:val="333333"/>
          <w:sz w:val="30"/>
          <w:szCs w:val="30"/>
          <w:highlight w:val="white"/>
        </w:rPr>
      </w:pPr>
      <w:r w:rsidDel="00000000" w:rsidR="00000000" w:rsidRPr="00000000">
        <w:rPr>
          <w:color w:val="333333"/>
          <w:sz w:val="30"/>
          <w:szCs w:val="30"/>
          <w:highlight w:val="white"/>
          <w:rtl w:val="0"/>
        </w:rPr>
        <w:t xml:space="preserve">XYZ is an innovative Canadian digital software developer. XYZ is a young company operating in Canada and the USA but would like to introduce its new software, which is in the late stage of development, in order to grow and diversify existing Canadian and American markets. XYZ has generated significant sales growth (i.e. 22% year over year). XYZ has recently received a round of investments that will assist with its growth.</w:t>
      </w:r>
    </w:p>
    <w:p w:rsidR="00000000" w:rsidDel="00000000" w:rsidP="00000000" w:rsidRDefault="00000000" w:rsidRPr="00000000" w14:paraId="00000010">
      <w:pPr>
        <w:spacing w:after="180" w:lineRule="auto"/>
        <w:rPr>
          <w:color w:val="333333"/>
          <w:sz w:val="30"/>
          <w:szCs w:val="30"/>
          <w:highlight w:val="white"/>
        </w:rPr>
      </w:pPr>
      <w:r w:rsidDel="00000000" w:rsidR="00000000" w:rsidRPr="00000000">
        <w:rPr>
          <w:color w:val="333333"/>
          <w:sz w:val="30"/>
          <w:szCs w:val="30"/>
          <w:highlight w:val="white"/>
          <w:rtl w:val="0"/>
        </w:rPr>
        <w:t xml:space="preserve"> </w:t>
      </w:r>
    </w:p>
    <w:p w:rsidR="00000000" w:rsidDel="00000000" w:rsidP="00000000" w:rsidRDefault="00000000" w:rsidRPr="00000000" w14:paraId="00000011">
      <w:pPr>
        <w:keepNext w:val="0"/>
        <w:keepLines w:val="0"/>
        <w:spacing w:after="180" w:before="580" w:line="264" w:lineRule="auto"/>
        <w:rPr/>
      </w:pPr>
      <w:r w:rsidDel="00000000" w:rsidR="00000000" w:rsidRPr="00000000">
        <w:rPr>
          <w:rtl w:val="0"/>
        </w:rPr>
        <w:t xml:space="preserve">On this page</w:t>
      </w:r>
    </w:p>
    <w:p w:rsidR="00000000" w:rsidDel="00000000" w:rsidP="00000000" w:rsidRDefault="00000000" w:rsidRPr="00000000" w14:paraId="00000012">
      <w:pPr>
        <w:numPr>
          <w:ilvl w:val="0"/>
          <w:numId w:val="8"/>
        </w:numPr>
        <w:spacing w:after="0" w:afterAutospacing="0" w:lineRule="auto"/>
        <w:ind w:left="720" w:hanging="360"/>
      </w:pPr>
      <w:hyperlink r:id="rId10">
        <w:r w:rsidDel="00000000" w:rsidR="00000000" w:rsidRPr="00000000">
          <w:rPr>
            <w:color w:val="284162"/>
            <w:sz w:val="30"/>
            <w:szCs w:val="30"/>
            <w:highlight w:val="white"/>
            <w:u w:val="single"/>
            <w:rtl w:val="0"/>
          </w:rPr>
          <w:t xml:space="preserve">Eligibility</w:t>
        </w:r>
      </w:hyperlink>
      <w:r w:rsidDel="00000000" w:rsidR="00000000" w:rsidRPr="00000000">
        <w:rPr>
          <w:rtl w:val="0"/>
        </w:rPr>
      </w:r>
    </w:p>
    <w:p w:rsidR="00000000" w:rsidDel="00000000" w:rsidP="00000000" w:rsidRDefault="00000000" w:rsidRPr="00000000" w14:paraId="00000013">
      <w:pPr>
        <w:numPr>
          <w:ilvl w:val="1"/>
          <w:numId w:val="8"/>
        </w:numPr>
        <w:spacing w:after="0" w:afterAutospacing="0" w:lineRule="auto"/>
        <w:ind w:left="1440" w:hanging="360"/>
      </w:pPr>
      <w:hyperlink r:id="rId11">
        <w:r w:rsidDel="00000000" w:rsidR="00000000" w:rsidRPr="00000000">
          <w:rPr>
            <w:color w:val="284162"/>
            <w:sz w:val="30"/>
            <w:szCs w:val="30"/>
            <w:highlight w:val="white"/>
            <w:u w:val="single"/>
            <w:rtl w:val="0"/>
          </w:rPr>
          <w:t xml:space="preserve">Eligible costs</w:t>
        </w:r>
      </w:hyperlink>
      <w:r w:rsidDel="00000000" w:rsidR="00000000" w:rsidRPr="00000000">
        <w:rPr>
          <w:rtl w:val="0"/>
        </w:rPr>
      </w:r>
    </w:p>
    <w:p w:rsidR="00000000" w:rsidDel="00000000" w:rsidP="00000000" w:rsidRDefault="00000000" w:rsidRPr="00000000" w14:paraId="00000014">
      <w:pPr>
        <w:numPr>
          <w:ilvl w:val="1"/>
          <w:numId w:val="8"/>
        </w:numPr>
        <w:spacing w:after="0" w:afterAutospacing="0" w:lineRule="auto"/>
        <w:ind w:left="1440" w:hanging="360"/>
      </w:pPr>
      <w:hyperlink r:id="rId12">
        <w:r w:rsidDel="00000000" w:rsidR="00000000" w:rsidRPr="00000000">
          <w:rPr>
            <w:color w:val="284162"/>
            <w:sz w:val="30"/>
            <w:szCs w:val="30"/>
            <w:highlight w:val="white"/>
            <w:u w:val="single"/>
            <w:rtl w:val="0"/>
          </w:rPr>
          <w:t xml:space="preserve">Ineligible costs</w:t>
        </w:r>
      </w:hyperlink>
      <w:r w:rsidDel="00000000" w:rsidR="00000000" w:rsidRPr="00000000">
        <w:rPr>
          <w:rtl w:val="0"/>
        </w:rPr>
      </w:r>
    </w:p>
    <w:p w:rsidR="00000000" w:rsidDel="00000000" w:rsidP="00000000" w:rsidRDefault="00000000" w:rsidRPr="00000000" w14:paraId="00000015">
      <w:pPr>
        <w:numPr>
          <w:ilvl w:val="1"/>
          <w:numId w:val="8"/>
        </w:numPr>
        <w:spacing w:after="0" w:afterAutospacing="0" w:lineRule="auto"/>
        <w:ind w:left="1440" w:hanging="360"/>
      </w:pPr>
      <w:hyperlink r:id="rId13">
        <w:r w:rsidDel="00000000" w:rsidR="00000000" w:rsidRPr="00000000">
          <w:rPr>
            <w:color w:val="284162"/>
            <w:sz w:val="30"/>
            <w:szCs w:val="30"/>
            <w:highlight w:val="white"/>
            <w:u w:val="single"/>
            <w:rtl w:val="0"/>
          </w:rPr>
          <w:t xml:space="preserve">Expected results</w:t>
        </w:r>
      </w:hyperlink>
      <w:r w:rsidDel="00000000" w:rsidR="00000000" w:rsidRPr="00000000">
        <w:rPr>
          <w:rtl w:val="0"/>
        </w:rPr>
      </w:r>
    </w:p>
    <w:p w:rsidR="00000000" w:rsidDel="00000000" w:rsidP="00000000" w:rsidRDefault="00000000" w:rsidRPr="00000000" w14:paraId="00000016">
      <w:pPr>
        <w:numPr>
          <w:ilvl w:val="0"/>
          <w:numId w:val="8"/>
        </w:numPr>
        <w:spacing w:after="0" w:afterAutospacing="0" w:lineRule="auto"/>
        <w:ind w:left="720" w:hanging="360"/>
      </w:pPr>
      <w:hyperlink r:id="rId14">
        <w:r w:rsidDel="00000000" w:rsidR="00000000" w:rsidRPr="00000000">
          <w:rPr>
            <w:color w:val="284162"/>
            <w:sz w:val="30"/>
            <w:szCs w:val="30"/>
            <w:highlight w:val="white"/>
            <w:u w:val="single"/>
            <w:rtl w:val="0"/>
          </w:rPr>
          <w:t xml:space="preserve">When to submit an expression of interest</w:t>
        </w:r>
      </w:hyperlink>
      <w:r w:rsidDel="00000000" w:rsidR="00000000" w:rsidRPr="00000000">
        <w:rPr>
          <w:rtl w:val="0"/>
        </w:rPr>
      </w:r>
    </w:p>
    <w:p w:rsidR="00000000" w:rsidDel="00000000" w:rsidP="00000000" w:rsidRDefault="00000000" w:rsidRPr="00000000" w14:paraId="00000017">
      <w:pPr>
        <w:numPr>
          <w:ilvl w:val="0"/>
          <w:numId w:val="8"/>
        </w:numPr>
        <w:spacing w:after="0" w:afterAutospacing="0" w:lineRule="auto"/>
        <w:ind w:left="720" w:hanging="360"/>
      </w:pPr>
      <w:hyperlink r:id="rId15">
        <w:r w:rsidDel="00000000" w:rsidR="00000000" w:rsidRPr="00000000">
          <w:rPr>
            <w:color w:val="284162"/>
            <w:sz w:val="30"/>
            <w:szCs w:val="30"/>
            <w:highlight w:val="white"/>
            <w:u w:val="single"/>
            <w:rtl w:val="0"/>
          </w:rPr>
          <w:t xml:space="preserve">How to submit an expression of interest</w:t>
        </w:r>
      </w:hyperlink>
      <w:r w:rsidDel="00000000" w:rsidR="00000000" w:rsidRPr="00000000">
        <w:rPr>
          <w:rtl w:val="0"/>
        </w:rPr>
      </w:r>
    </w:p>
    <w:p w:rsidR="00000000" w:rsidDel="00000000" w:rsidP="00000000" w:rsidRDefault="00000000" w:rsidRPr="00000000" w14:paraId="00000018">
      <w:pPr>
        <w:numPr>
          <w:ilvl w:val="0"/>
          <w:numId w:val="8"/>
        </w:numPr>
        <w:spacing w:after="0" w:afterAutospacing="0" w:lineRule="auto"/>
        <w:ind w:left="720" w:hanging="360"/>
      </w:pPr>
      <w:hyperlink r:id="rId16">
        <w:r w:rsidDel="00000000" w:rsidR="00000000" w:rsidRPr="00000000">
          <w:rPr>
            <w:color w:val="284162"/>
            <w:sz w:val="30"/>
            <w:szCs w:val="30"/>
            <w:highlight w:val="white"/>
            <w:u w:val="single"/>
            <w:rtl w:val="0"/>
          </w:rPr>
          <w:t xml:space="preserve">After submitting an expression of interest</w:t>
        </w:r>
      </w:hyperlink>
      <w:r w:rsidDel="00000000" w:rsidR="00000000" w:rsidRPr="00000000">
        <w:rPr>
          <w:rtl w:val="0"/>
        </w:rPr>
      </w:r>
    </w:p>
    <w:p w:rsidR="00000000" w:rsidDel="00000000" w:rsidP="00000000" w:rsidRDefault="00000000" w:rsidRPr="00000000" w14:paraId="00000019">
      <w:pPr>
        <w:numPr>
          <w:ilvl w:val="0"/>
          <w:numId w:val="8"/>
        </w:numPr>
        <w:spacing w:after="0" w:afterAutospacing="0" w:lineRule="auto"/>
        <w:ind w:left="720" w:hanging="360"/>
      </w:pPr>
      <w:hyperlink r:id="rId17">
        <w:r w:rsidDel="00000000" w:rsidR="00000000" w:rsidRPr="00000000">
          <w:rPr>
            <w:color w:val="284162"/>
            <w:sz w:val="30"/>
            <w:szCs w:val="30"/>
            <w:highlight w:val="white"/>
            <w:u w:val="single"/>
            <w:rtl w:val="0"/>
          </w:rPr>
          <w:t xml:space="preserve">Assessment process</w:t>
        </w:r>
      </w:hyperlink>
      <w:r w:rsidDel="00000000" w:rsidR="00000000" w:rsidRPr="00000000">
        <w:rPr>
          <w:rtl w:val="0"/>
        </w:rPr>
      </w:r>
    </w:p>
    <w:p w:rsidR="00000000" w:rsidDel="00000000" w:rsidP="00000000" w:rsidRDefault="00000000" w:rsidRPr="00000000" w14:paraId="0000001A">
      <w:pPr>
        <w:numPr>
          <w:ilvl w:val="0"/>
          <w:numId w:val="8"/>
        </w:numPr>
        <w:spacing w:after="0" w:afterAutospacing="0" w:lineRule="auto"/>
        <w:ind w:left="720" w:hanging="360"/>
      </w:pPr>
      <w:hyperlink r:id="rId18">
        <w:r w:rsidDel="00000000" w:rsidR="00000000" w:rsidRPr="00000000">
          <w:rPr>
            <w:color w:val="284162"/>
            <w:sz w:val="30"/>
            <w:szCs w:val="30"/>
            <w:highlight w:val="white"/>
            <w:u w:val="single"/>
            <w:rtl w:val="0"/>
          </w:rPr>
          <w:t xml:space="preserve">Funding disbursement</w:t>
        </w:r>
      </w:hyperlink>
      <w:r w:rsidDel="00000000" w:rsidR="00000000" w:rsidRPr="00000000">
        <w:rPr>
          <w:rtl w:val="0"/>
        </w:rPr>
      </w:r>
    </w:p>
    <w:p w:rsidR="00000000" w:rsidDel="00000000" w:rsidP="00000000" w:rsidRDefault="00000000" w:rsidRPr="00000000" w14:paraId="0000001B">
      <w:pPr>
        <w:numPr>
          <w:ilvl w:val="0"/>
          <w:numId w:val="8"/>
        </w:numPr>
        <w:spacing w:after="0" w:afterAutospacing="0" w:lineRule="auto"/>
        <w:ind w:left="720" w:hanging="360"/>
      </w:pPr>
      <w:hyperlink r:id="rId19">
        <w:r w:rsidDel="00000000" w:rsidR="00000000" w:rsidRPr="00000000">
          <w:rPr>
            <w:color w:val="284162"/>
            <w:sz w:val="30"/>
            <w:szCs w:val="30"/>
            <w:highlight w:val="white"/>
            <w:u w:val="single"/>
            <w:rtl w:val="0"/>
          </w:rPr>
          <w:t xml:space="preserve">Repayment terms</w:t>
        </w:r>
      </w:hyperlink>
      <w:r w:rsidDel="00000000" w:rsidR="00000000" w:rsidRPr="00000000">
        <w:rPr>
          <w:rtl w:val="0"/>
        </w:rPr>
      </w:r>
    </w:p>
    <w:p w:rsidR="00000000" w:rsidDel="00000000" w:rsidP="00000000" w:rsidRDefault="00000000" w:rsidRPr="00000000" w14:paraId="0000001C">
      <w:pPr>
        <w:numPr>
          <w:ilvl w:val="0"/>
          <w:numId w:val="8"/>
        </w:numPr>
        <w:spacing w:after="180" w:lineRule="auto"/>
        <w:ind w:left="720" w:hanging="360"/>
      </w:pPr>
      <w:hyperlink r:id="rId20">
        <w:r w:rsidDel="00000000" w:rsidR="00000000" w:rsidRPr="00000000">
          <w:rPr>
            <w:color w:val="284162"/>
            <w:sz w:val="30"/>
            <w:szCs w:val="30"/>
            <w:highlight w:val="white"/>
            <w:u w:val="single"/>
            <w:rtl w:val="0"/>
          </w:rPr>
          <w:t xml:space="preserve">Contacts</w:t>
        </w:r>
      </w:hyperlink>
      <w:r w:rsidDel="00000000" w:rsidR="00000000" w:rsidRPr="00000000">
        <w:rPr>
          <w:rtl w:val="0"/>
        </w:rPr>
      </w:r>
    </w:p>
    <w:p w:rsidR="00000000" w:rsidDel="00000000" w:rsidP="00000000" w:rsidRDefault="00000000" w:rsidRPr="00000000" w14:paraId="0000001D">
      <w:pPr>
        <w:keepNext w:val="0"/>
        <w:keepLines w:val="0"/>
        <w:spacing w:after="180" w:before="580" w:line="264" w:lineRule="auto"/>
        <w:rPr/>
      </w:pPr>
      <w:r w:rsidDel="00000000" w:rsidR="00000000" w:rsidRPr="00000000">
        <w:rPr>
          <w:rtl w:val="0"/>
        </w:rPr>
        <w:t xml:space="preserve">Eligibility</w:t>
      </w:r>
    </w:p>
    <w:p w:rsidR="00000000" w:rsidDel="00000000" w:rsidP="00000000" w:rsidRDefault="00000000" w:rsidRPr="00000000" w14:paraId="0000001E">
      <w:pPr>
        <w:spacing w:after="180" w:lineRule="auto"/>
        <w:rPr>
          <w:color w:val="333333"/>
          <w:sz w:val="30"/>
          <w:szCs w:val="30"/>
          <w:highlight w:val="white"/>
        </w:rPr>
      </w:pPr>
      <w:r w:rsidDel="00000000" w:rsidR="00000000" w:rsidRPr="00000000">
        <w:rPr>
          <w:color w:val="333333"/>
          <w:sz w:val="30"/>
          <w:szCs w:val="30"/>
          <w:highlight w:val="white"/>
          <w:rtl w:val="0"/>
        </w:rPr>
        <w:t xml:space="preserve">The BSP program is open to incorporated high-growth businesses that have been operating in Western Canada for a minimum of 2 years. Preference may be given to small and medium-sized enterprises (SMEs) with less than 500 full-time employees (FTEs).</w:t>
      </w:r>
    </w:p>
    <w:p w:rsidR="00000000" w:rsidDel="00000000" w:rsidP="00000000" w:rsidRDefault="00000000" w:rsidRPr="00000000" w14:paraId="0000001F">
      <w:pPr>
        <w:spacing w:after="180" w:lineRule="auto"/>
        <w:rPr>
          <w:color w:val="333333"/>
          <w:sz w:val="30"/>
          <w:szCs w:val="30"/>
          <w:highlight w:val="white"/>
        </w:rPr>
      </w:pPr>
      <w:r w:rsidDel="00000000" w:rsidR="00000000" w:rsidRPr="00000000">
        <w:rPr>
          <w:color w:val="333333"/>
          <w:sz w:val="30"/>
          <w:szCs w:val="30"/>
          <w:highlight w:val="white"/>
          <w:rtl w:val="0"/>
        </w:rPr>
        <w:t xml:space="preserve">Businesses must meet the following mandatory criteria:</w:t>
      </w:r>
    </w:p>
    <w:p w:rsidR="00000000" w:rsidDel="00000000" w:rsidP="00000000" w:rsidRDefault="00000000" w:rsidRPr="00000000" w14:paraId="00000020">
      <w:pPr>
        <w:numPr>
          <w:ilvl w:val="0"/>
          <w:numId w:val="9"/>
        </w:numPr>
        <w:spacing w:after="0" w:afterAutospacing="0" w:lineRule="auto"/>
        <w:ind w:left="720" w:hanging="360"/>
      </w:pPr>
      <w:r w:rsidDel="00000000" w:rsidR="00000000" w:rsidRPr="00000000">
        <w:rPr>
          <w:color w:val="333333"/>
          <w:sz w:val="30"/>
          <w:szCs w:val="30"/>
          <w:highlight w:val="white"/>
          <w:rtl w:val="0"/>
        </w:rPr>
        <w:t xml:space="preserve">high-growth business that is scaling up and producing innovative goods, services or technologies</w:t>
      </w:r>
    </w:p>
    <w:p w:rsidR="00000000" w:rsidDel="00000000" w:rsidP="00000000" w:rsidRDefault="00000000" w:rsidRPr="00000000" w14:paraId="00000021">
      <w:pPr>
        <w:numPr>
          <w:ilvl w:val="0"/>
          <w:numId w:val="9"/>
        </w:numPr>
        <w:spacing w:after="0" w:afterAutospacing="0" w:lineRule="auto"/>
        <w:ind w:left="720" w:hanging="360"/>
      </w:pPr>
      <w:r w:rsidDel="00000000" w:rsidR="00000000" w:rsidRPr="00000000">
        <w:rPr>
          <w:color w:val="333333"/>
          <w:sz w:val="30"/>
          <w:szCs w:val="30"/>
          <w:highlight w:val="white"/>
          <w:rtl w:val="0"/>
        </w:rPr>
        <w:t xml:space="preserve">incorporated to do business in Canada</w:t>
      </w:r>
    </w:p>
    <w:p w:rsidR="00000000" w:rsidDel="00000000" w:rsidP="00000000" w:rsidRDefault="00000000" w:rsidRPr="00000000" w14:paraId="00000022">
      <w:pPr>
        <w:numPr>
          <w:ilvl w:val="0"/>
          <w:numId w:val="9"/>
        </w:numPr>
        <w:spacing w:after="0" w:afterAutospacing="0" w:lineRule="auto"/>
        <w:ind w:left="720" w:hanging="360"/>
      </w:pPr>
      <w:r w:rsidDel="00000000" w:rsidR="00000000" w:rsidRPr="00000000">
        <w:rPr>
          <w:color w:val="333333"/>
          <w:sz w:val="30"/>
          <w:szCs w:val="30"/>
          <w:highlight w:val="white"/>
          <w:rtl w:val="0"/>
        </w:rPr>
        <w:t xml:space="preserve">have been in business for at least 2 years in Canada</w:t>
      </w:r>
    </w:p>
    <w:p w:rsidR="00000000" w:rsidDel="00000000" w:rsidP="00000000" w:rsidRDefault="00000000" w:rsidRPr="00000000" w14:paraId="00000023">
      <w:pPr>
        <w:numPr>
          <w:ilvl w:val="0"/>
          <w:numId w:val="9"/>
        </w:numPr>
        <w:spacing w:after="0" w:afterAutospacing="0" w:lineRule="auto"/>
        <w:ind w:left="720" w:hanging="360"/>
      </w:pPr>
      <w:r w:rsidDel="00000000" w:rsidR="00000000" w:rsidRPr="00000000">
        <w:rPr>
          <w:color w:val="333333"/>
          <w:sz w:val="30"/>
          <w:szCs w:val="30"/>
          <w:highlight w:val="white"/>
          <w:rtl w:val="0"/>
        </w:rPr>
        <w:t xml:space="preserve">have staffed operating facilities in Western Canada (defined as British Columbia, Alberta, Saskatchewan or Manitoba)</w:t>
      </w:r>
    </w:p>
    <w:p w:rsidR="00000000" w:rsidDel="00000000" w:rsidP="00000000" w:rsidRDefault="00000000" w:rsidRPr="00000000" w14:paraId="00000024">
      <w:pPr>
        <w:numPr>
          <w:ilvl w:val="0"/>
          <w:numId w:val="9"/>
        </w:numPr>
        <w:spacing w:after="0" w:afterAutospacing="0" w:lineRule="auto"/>
        <w:ind w:left="720" w:hanging="360"/>
      </w:pPr>
      <w:r w:rsidDel="00000000" w:rsidR="00000000" w:rsidRPr="00000000">
        <w:rPr>
          <w:color w:val="333333"/>
          <w:sz w:val="30"/>
          <w:szCs w:val="30"/>
          <w:highlight w:val="white"/>
          <w:rtl w:val="0"/>
        </w:rPr>
        <w:t xml:space="preserve">have confirmed, at the time of expression of interest submission, funding from all other sources, including government and non-government (non-government funding must represent at least 50% of the proposed project costs)</w:t>
      </w:r>
    </w:p>
    <w:p w:rsidR="00000000" w:rsidDel="00000000" w:rsidP="00000000" w:rsidRDefault="00000000" w:rsidRPr="00000000" w14:paraId="00000025">
      <w:pPr>
        <w:numPr>
          <w:ilvl w:val="0"/>
          <w:numId w:val="9"/>
        </w:numPr>
        <w:spacing w:after="0" w:afterAutospacing="0" w:lineRule="auto"/>
        <w:ind w:left="720" w:hanging="360"/>
      </w:pPr>
      <w:r w:rsidDel="00000000" w:rsidR="00000000" w:rsidRPr="00000000">
        <w:rPr>
          <w:color w:val="333333"/>
          <w:sz w:val="30"/>
          <w:szCs w:val="30"/>
          <w:highlight w:val="white"/>
          <w:rtl w:val="0"/>
        </w:rPr>
        <w:t xml:space="preserve">be a high-growth business looking to support or accelerate growth through the following activities:</w:t>
      </w:r>
    </w:p>
    <w:p w:rsidR="00000000" w:rsidDel="00000000" w:rsidP="00000000" w:rsidRDefault="00000000" w:rsidRPr="00000000" w14:paraId="00000026">
      <w:pPr>
        <w:numPr>
          <w:ilvl w:val="1"/>
          <w:numId w:val="9"/>
        </w:numPr>
        <w:spacing w:after="0" w:afterAutospacing="0" w:lineRule="auto"/>
        <w:ind w:left="1440" w:hanging="360"/>
      </w:pPr>
      <w:r w:rsidDel="00000000" w:rsidR="00000000" w:rsidRPr="00000000">
        <w:rPr>
          <w:b w:val="1"/>
          <w:color w:val="333333"/>
          <w:sz w:val="30"/>
          <w:szCs w:val="30"/>
          <w:highlight w:val="white"/>
          <w:rtl w:val="0"/>
        </w:rPr>
        <w:t xml:space="preserve">Productivity Improvement:</w:t>
      </w:r>
      <w:r w:rsidDel="00000000" w:rsidR="00000000" w:rsidRPr="00000000">
        <w:rPr>
          <w:color w:val="333333"/>
          <w:sz w:val="30"/>
          <w:szCs w:val="30"/>
          <w:highlight w:val="white"/>
          <w:rtl w:val="0"/>
        </w:rPr>
        <w:t xml:space="preserve"> includes acquiring, adapting,and adopting new technologies and processes; process re-engineering; improving manufacturing capacity</w:t>
      </w:r>
    </w:p>
    <w:p w:rsidR="00000000" w:rsidDel="00000000" w:rsidP="00000000" w:rsidRDefault="00000000" w:rsidRPr="00000000" w14:paraId="00000027">
      <w:pPr>
        <w:numPr>
          <w:ilvl w:val="1"/>
          <w:numId w:val="9"/>
        </w:numPr>
        <w:spacing w:after="0" w:afterAutospacing="0" w:lineRule="auto"/>
        <w:ind w:left="1440" w:hanging="360"/>
      </w:pPr>
      <w:r w:rsidDel="00000000" w:rsidR="00000000" w:rsidRPr="00000000">
        <w:rPr>
          <w:b w:val="1"/>
          <w:color w:val="333333"/>
          <w:sz w:val="30"/>
          <w:szCs w:val="30"/>
          <w:highlight w:val="white"/>
          <w:rtl w:val="0"/>
        </w:rPr>
        <w:t xml:space="preserve">Business Scale-up:</w:t>
      </w:r>
      <w:r w:rsidDel="00000000" w:rsidR="00000000" w:rsidRPr="00000000">
        <w:rPr>
          <w:color w:val="333333"/>
          <w:sz w:val="30"/>
          <w:szCs w:val="30"/>
          <w:highlight w:val="white"/>
          <w:rtl w:val="0"/>
        </w:rPr>
        <w:t xml:space="preserve"> includes market development or expansion, adopting best management practices, processes and systems; business opportunity development</w:t>
      </w:r>
    </w:p>
    <w:p w:rsidR="00000000" w:rsidDel="00000000" w:rsidP="00000000" w:rsidRDefault="00000000" w:rsidRPr="00000000" w14:paraId="00000028">
      <w:pPr>
        <w:numPr>
          <w:ilvl w:val="1"/>
          <w:numId w:val="9"/>
        </w:numPr>
        <w:spacing w:after="0" w:afterAutospacing="0" w:lineRule="auto"/>
        <w:ind w:left="1440" w:hanging="360"/>
      </w:pPr>
      <w:r w:rsidDel="00000000" w:rsidR="00000000" w:rsidRPr="00000000">
        <w:rPr>
          <w:b w:val="1"/>
          <w:color w:val="333333"/>
          <w:sz w:val="30"/>
          <w:szCs w:val="30"/>
          <w:highlight w:val="white"/>
          <w:rtl w:val="0"/>
        </w:rPr>
        <w:t xml:space="preserve">Technology Commercialization:</w:t>
      </w:r>
      <w:r w:rsidDel="00000000" w:rsidR="00000000" w:rsidRPr="00000000">
        <w:rPr>
          <w:color w:val="333333"/>
          <w:sz w:val="30"/>
          <w:szCs w:val="30"/>
          <w:highlight w:val="white"/>
          <w:rtl w:val="0"/>
        </w:rPr>
        <w:t xml:space="preserve"> includes late stage product development to grow and diversify markets, as well as technology showcasing and technology demonstration (</w:t>
      </w:r>
      <w:hyperlink r:id="rId21">
        <w:r w:rsidDel="00000000" w:rsidR="00000000" w:rsidRPr="00000000">
          <w:rPr>
            <w:color w:val="284162"/>
            <w:sz w:val="30"/>
            <w:szCs w:val="30"/>
            <w:highlight w:val="white"/>
            <w:u w:val="single"/>
            <w:rtl w:val="0"/>
          </w:rPr>
          <w:t xml:space="preserve">Technology Readiness Levels 7-9</w:t>
        </w:r>
      </w:hyperlink>
      <w:r w:rsidDel="00000000" w:rsidR="00000000" w:rsidRPr="00000000">
        <w:rPr>
          <w:color w:val="333333"/>
          <w:sz w:val="30"/>
          <w:szCs w:val="30"/>
          <w:highlight w:val="white"/>
          <w:rtl w:val="0"/>
        </w:rPr>
        <w:t xml:space="preserve"> as defined by Innovation, Science and Economic Development Canada)</w:t>
      </w:r>
    </w:p>
    <w:p w:rsidR="00000000" w:rsidDel="00000000" w:rsidP="00000000" w:rsidRDefault="00000000" w:rsidRPr="00000000" w14:paraId="00000029">
      <w:pPr>
        <w:numPr>
          <w:ilvl w:val="0"/>
          <w:numId w:val="9"/>
        </w:numPr>
        <w:spacing w:after="0" w:afterAutospacing="0" w:lineRule="auto"/>
        <w:ind w:left="720" w:hanging="360"/>
      </w:pPr>
      <w:r w:rsidDel="00000000" w:rsidR="00000000" w:rsidRPr="00000000">
        <w:rPr>
          <w:color w:val="333333"/>
          <w:sz w:val="30"/>
          <w:szCs w:val="30"/>
          <w:highlight w:val="white"/>
          <w:rtl w:val="0"/>
        </w:rPr>
        <w:t xml:space="preserve">maximum project duration of 3 years focused on 1 or more of the following areas:</w:t>
      </w:r>
    </w:p>
    <w:p w:rsidR="00000000" w:rsidDel="00000000" w:rsidP="00000000" w:rsidRDefault="00000000" w:rsidRPr="00000000" w14:paraId="0000002A">
      <w:pPr>
        <w:numPr>
          <w:ilvl w:val="1"/>
          <w:numId w:val="9"/>
        </w:numPr>
        <w:spacing w:after="0" w:afterAutospacing="0" w:lineRule="auto"/>
        <w:ind w:left="1440" w:hanging="360"/>
      </w:pPr>
      <w:r w:rsidDel="00000000" w:rsidR="00000000" w:rsidRPr="00000000">
        <w:rPr>
          <w:b w:val="1"/>
          <w:color w:val="333333"/>
          <w:sz w:val="30"/>
          <w:szCs w:val="30"/>
          <w:highlight w:val="white"/>
          <w:rtl w:val="0"/>
        </w:rPr>
        <w:t xml:space="preserve">Advanced Manufacturing</w:t>
      </w:r>
      <w:r w:rsidDel="00000000" w:rsidR="00000000" w:rsidRPr="00000000">
        <w:rPr>
          <w:color w:val="333333"/>
          <w:sz w:val="30"/>
          <w:szCs w:val="30"/>
          <w:highlight w:val="white"/>
          <w:rtl w:val="0"/>
        </w:rPr>
        <w:t xml:space="preserve"> is defined by the development and adoption of innovative technologies to create new products, enhance processes and establish more efficient and cost-effective ways of working.</w:t>
      </w:r>
    </w:p>
    <w:p w:rsidR="00000000" w:rsidDel="00000000" w:rsidP="00000000" w:rsidRDefault="00000000" w:rsidRPr="00000000" w14:paraId="0000002B">
      <w:pPr>
        <w:numPr>
          <w:ilvl w:val="1"/>
          <w:numId w:val="9"/>
        </w:numPr>
        <w:spacing w:after="0" w:afterAutospacing="0" w:lineRule="auto"/>
        <w:ind w:left="1440" w:hanging="360"/>
      </w:pPr>
      <w:r w:rsidDel="00000000" w:rsidR="00000000" w:rsidRPr="00000000">
        <w:rPr>
          <w:b w:val="1"/>
          <w:color w:val="333333"/>
          <w:sz w:val="30"/>
          <w:szCs w:val="30"/>
          <w:highlight w:val="white"/>
          <w:rtl w:val="0"/>
        </w:rPr>
        <w:t xml:space="preserve">Clean Resources</w:t>
      </w:r>
      <w:r w:rsidDel="00000000" w:rsidR="00000000" w:rsidRPr="00000000">
        <w:rPr>
          <w:color w:val="333333"/>
          <w:sz w:val="30"/>
          <w:szCs w:val="30"/>
          <w:highlight w:val="white"/>
          <w:rtl w:val="0"/>
        </w:rPr>
        <w:t xml:space="preserve"> refers to transitioning from the old resource economy into a new resource economy. It is where innovation drives economic and environmental competitiveness in the energy, mining and forestry sectors, and leverages Canada's natural resources advantage to transition to a low-carbon economy.</w:t>
      </w:r>
    </w:p>
    <w:p w:rsidR="00000000" w:rsidDel="00000000" w:rsidP="00000000" w:rsidRDefault="00000000" w:rsidRPr="00000000" w14:paraId="0000002C">
      <w:pPr>
        <w:numPr>
          <w:ilvl w:val="1"/>
          <w:numId w:val="9"/>
        </w:numPr>
        <w:spacing w:after="0" w:afterAutospacing="0" w:lineRule="auto"/>
        <w:ind w:left="1440" w:hanging="360"/>
      </w:pPr>
      <w:r w:rsidDel="00000000" w:rsidR="00000000" w:rsidRPr="00000000">
        <w:rPr>
          <w:b w:val="1"/>
          <w:color w:val="333333"/>
          <w:sz w:val="30"/>
          <w:szCs w:val="30"/>
          <w:highlight w:val="white"/>
          <w:rtl w:val="0"/>
        </w:rPr>
        <w:t xml:space="preserve">Clean Technology</w:t>
      </w:r>
      <w:r w:rsidDel="00000000" w:rsidR="00000000" w:rsidRPr="00000000">
        <w:rPr>
          <w:color w:val="333333"/>
          <w:sz w:val="30"/>
          <w:szCs w:val="30"/>
          <w:highlight w:val="white"/>
          <w:rtl w:val="0"/>
        </w:rPr>
        <w:t xml:space="preserve"> refers to any process, product or service that reduces environmental impacts in order to better control costs, meet new regulatory requirements, improve global competitiveness and reduce impacts on climate, water, land and air.</w:t>
      </w:r>
    </w:p>
    <w:p w:rsidR="00000000" w:rsidDel="00000000" w:rsidP="00000000" w:rsidRDefault="00000000" w:rsidRPr="00000000" w14:paraId="0000002D">
      <w:pPr>
        <w:numPr>
          <w:ilvl w:val="1"/>
          <w:numId w:val="9"/>
        </w:numPr>
        <w:spacing w:after="0" w:afterAutospacing="0" w:lineRule="auto"/>
        <w:ind w:left="1440" w:hanging="360"/>
      </w:pPr>
      <w:r w:rsidDel="00000000" w:rsidR="00000000" w:rsidRPr="00000000">
        <w:rPr>
          <w:b w:val="1"/>
          <w:color w:val="333333"/>
          <w:sz w:val="30"/>
          <w:szCs w:val="30"/>
          <w:highlight w:val="white"/>
          <w:rtl w:val="0"/>
        </w:rPr>
        <w:t xml:space="preserve">Digital Industries</w:t>
      </w:r>
      <w:r w:rsidDel="00000000" w:rsidR="00000000" w:rsidRPr="00000000">
        <w:rPr>
          <w:color w:val="333333"/>
          <w:sz w:val="30"/>
          <w:szCs w:val="30"/>
          <w:highlight w:val="white"/>
          <w:rtl w:val="0"/>
        </w:rPr>
        <w:t xml:space="preserve"> includes a combination of information and communication technology (ICT), digital and interactive media, and content industries, as well as manufacturers and service companies that creatively capture, transmit and display information electronically in innovative ways.</w:t>
      </w:r>
    </w:p>
    <w:p w:rsidR="00000000" w:rsidDel="00000000" w:rsidP="00000000" w:rsidRDefault="00000000" w:rsidRPr="00000000" w14:paraId="0000002E">
      <w:pPr>
        <w:numPr>
          <w:ilvl w:val="1"/>
          <w:numId w:val="9"/>
        </w:numPr>
        <w:spacing w:after="0" w:afterAutospacing="0" w:lineRule="auto"/>
        <w:ind w:left="1440" w:hanging="360"/>
      </w:pPr>
      <w:r w:rsidDel="00000000" w:rsidR="00000000" w:rsidRPr="00000000">
        <w:rPr>
          <w:b w:val="1"/>
          <w:color w:val="333333"/>
          <w:sz w:val="30"/>
          <w:szCs w:val="30"/>
          <w:highlight w:val="white"/>
          <w:rtl w:val="0"/>
        </w:rPr>
        <w:t xml:space="preserve">Health/Bio-sciences</w:t>
      </w:r>
      <w:r w:rsidDel="00000000" w:rsidR="00000000" w:rsidRPr="00000000">
        <w:rPr>
          <w:color w:val="333333"/>
          <w:sz w:val="30"/>
          <w:szCs w:val="30"/>
          <w:highlight w:val="white"/>
          <w:rtl w:val="0"/>
        </w:rPr>
        <w:t xml:space="preserve"> encompasses a wide range of companies, from the developers and manufacturers of pharmaceuticals, medical devices and biomedical innovations, to producers of digital health solutions and disruptive technologies, such as artificial intelligence (AI), big data analytics, 3-D printing, robotics and nanotechnologies.</w:t>
      </w:r>
    </w:p>
    <w:p w:rsidR="00000000" w:rsidDel="00000000" w:rsidP="00000000" w:rsidRDefault="00000000" w:rsidRPr="00000000" w14:paraId="0000002F">
      <w:pPr>
        <w:numPr>
          <w:ilvl w:val="1"/>
          <w:numId w:val="9"/>
        </w:numPr>
        <w:spacing w:after="0" w:afterAutospacing="0" w:lineRule="auto"/>
        <w:ind w:left="1440" w:hanging="360"/>
      </w:pPr>
      <w:r w:rsidDel="00000000" w:rsidR="00000000" w:rsidRPr="00000000">
        <w:rPr>
          <w:b w:val="1"/>
          <w:color w:val="333333"/>
          <w:sz w:val="30"/>
          <w:szCs w:val="30"/>
          <w:highlight w:val="white"/>
          <w:rtl w:val="0"/>
        </w:rPr>
        <w:t xml:space="preserve">Natural Resources Value-added Processing</w:t>
      </w:r>
      <w:r w:rsidDel="00000000" w:rsidR="00000000" w:rsidRPr="00000000">
        <w:rPr>
          <w:color w:val="333333"/>
          <w:sz w:val="30"/>
          <w:szCs w:val="30"/>
          <w:highlight w:val="white"/>
          <w:rtl w:val="0"/>
        </w:rPr>
        <w:t xml:space="preserve"> includes the processing of natural resources in the energy, mineral or forestry sectors that adds value to primary products/raw materials.</w:t>
      </w:r>
    </w:p>
    <w:p w:rsidR="00000000" w:rsidDel="00000000" w:rsidP="00000000" w:rsidRDefault="00000000" w:rsidRPr="00000000" w14:paraId="00000030">
      <w:pPr>
        <w:numPr>
          <w:ilvl w:val="1"/>
          <w:numId w:val="9"/>
        </w:numPr>
        <w:spacing w:after="180" w:lineRule="auto"/>
        <w:ind w:left="1440" w:hanging="360"/>
      </w:pPr>
      <w:r w:rsidDel="00000000" w:rsidR="00000000" w:rsidRPr="00000000">
        <w:rPr>
          <w:b w:val="1"/>
          <w:color w:val="333333"/>
          <w:sz w:val="30"/>
          <w:szCs w:val="30"/>
          <w:highlight w:val="white"/>
          <w:rtl w:val="0"/>
        </w:rPr>
        <w:t xml:space="preserve">Value-added Agriculture</w:t>
      </w:r>
      <w:r w:rsidDel="00000000" w:rsidR="00000000" w:rsidRPr="00000000">
        <w:rPr>
          <w:color w:val="333333"/>
          <w:sz w:val="30"/>
          <w:szCs w:val="30"/>
          <w:highlight w:val="white"/>
          <w:rtl w:val="0"/>
        </w:rPr>
        <w:t xml:space="preserve"> is a complex and interdependent sector that includes agriculture, fisheries and aquaculture, and food and beverage processing.</w:t>
      </w:r>
    </w:p>
    <w:p w:rsidR="00000000" w:rsidDel="00000000" w:rsidP="00000000" w:rsidRDefault="00000000" w:rsidRPr="00000000" w14:paraId="00000031">
      <w:pPr>
        <w:spacing w:after="180" w:lineRule="auto"/>
        <w:rPr>
          <w:color w:val="333333"/>
          <w:sz w:val="30"/>
          <w:szCs w:val="30"/>
          <w:highlight w:val="white"/>
        </w:rPr>
      </w:pPr>
      <w:r w:rsidDel="00000000" w:rsidR="00000000" w:rsidRPr="00000000">
        <w:rPr>
          <w:color w:val="333333"/>
          <w:sz w:val="30"/>
          <w:szCs w:val="30"/>
          <w:highlight w:val="white"/>
          <w:rtl w:val="0"/>
        </w:rPr>
        <w:t xml:space="preserve">Note that preference will be given to proposals with a demonstrated focus on:</w:t>
      </w:r>
    </w:p>
    <w:p w:rsidR="00000000" w:rsidDel="00000000" w:rsidP="00000000" w:rsidRDefault="00000000" w:rsidRPr="00000000" w14:paraId="00000032">
      <w:pPr>
        <w:numPr>
          <w:ilvl w:val="0"/>
          <w:numId w:val="7"/>
        </w:numPr>
        <w:spacing w:after="0" w:afterAutospacing="0" w:lineRule="auto"/>
        <w:ind w:left="720" w:hanging="360"/>
      </w:pPr>
      <w:r w:rsidDel="00000000" w:rsidR="00000000" w:rsidRPr="00000000">
        <w:rPr>
          <w:b w:val="1"/>
          <w:color w:val="333333"/>
          <w:sz w:val="30"/>
          <w:szCs w:val="30"/>
          <w:highlight w:val="white"/>
          <w:rtl w:val="0"/>
        </w:rPr>
        <w:t xml:space="preserve">Clean Technology</w:t>
      </w:r>
      <w:r w:rsidDel="00000000" w:rsidR="00000000" w:rsidRPr="00000000">
        <w:rPr>
          <w:color w:val="333333"/>
          <w:sz w:val="30"/>
          <w:szCs w:val="30"/>
          <w:highlight w:val="white"/>
          <w:rtl w:val="0"/>
        </w:rPr>
        <w:t xml:space="preserve"> (as defined above)</w:t>
      </w:r>
    </w:p>
    <w:p w:rsidR="00000000" w:rsidDel="00000000" w:rsidP="00000000" w:rsidRDefault="00000000" w:rsidRPr="00000000" w14:paraId="00000033">
      <w:pPr>
        <w:numPr>
          <w:ilvl w:val="0"/>
          <w:numId w:val="7"/>
        </w:numPr>
        <w:spacing w:after="0" w:afterAutospacing="0" w:lineRule="auto"/>
        <w:ind w:left="720" w:hanging="360"/>
      </w:pPr>
      <w:r w:rsidDel="00000000" w:rsidR="00000000" w:rsidRPr="00000000">
        <w:rPr>
          <w:b w:val="1"/>
          <w:color w:val="333333"/>
          <w:sz w:val="30"/>
          <w:szCs w:val="30"/>
          <w:highlight w:val="white"/>
          <w:rtl w:val="0"/>
        </w:rPr>
        <w:t xml:space="preserve">Food and Ingredients Processing</w:t>
      </w:r>
      <w:r w:rsidDel="00000000" w:rsidR="00000000" w:rsidRPr="00000000">
        <w:rPr>
          <w:color w:val="333333"/>
          <w:sz w:val="30"/>
          <w:szCs w:val="30"/>
          <w:highlight w:val="white"/>
          <w:rtl w:val="0"/>
        </w:rPr>
        <w:t xml:space="preserve"> includes businesses using plant-based food and ingredients (i.e. food and ingredient manufacturers).</w:t>
      </w:r>
    </w:p>
    <w:p w:rsidR="00000000" w:rsidDel="00000000" w:rsidP="00000000" w:rsidRDefault="00000000" w:rsidRPr="00000000" w14:paraId="00000034">
      <w:pPr>
        <w:numPr>
          <w:ilvl w:val="0"/>
          <w:numId w:val="7"/>
        </w:numPr>
        <w:spacing w:after="0" w:afterAutospacing="0" w:lineRule="auto"/>
        <w:ind w:left="720" w:hanging="360"/>
      </w:pPr>
      <w:r w:rsidDel="00000000" w:rsidR="00000000" w:rsidRPr="00000000">
        <w:rPr>
          <w:b w:val="1"/>
          <w:color w:val="333333"/>
          <w:sz w:val="30"/>
          <w:szCs w:val="30"/>
          <w:highlight w:val="white"/>
          <w:rtl w:val="0"/>
        </w:rPr>
        <w:t xml:space="preserve">Health Analytics and Diagnostics</w:t>
      </w:r>
      <w:r w:rsidDel="00000000" w:rsidR="00000000" w:rsidRPr="00000000">
        <w:rPr>
          <w:color w:val="333333"/>
          <w:sz w:val="30"/>
          <w:szCs w:val="30"/>
          <w:highlight w:val="white"/>
          <w:rtl w:val="0"/>
        </w:rPr>
        <w:t xml:space="preserve"> refers to the systemic analysis of aggregated health and clinical data to improve patient care, improve health system management or reduce healthcare costs. Health diagnostics involves an instrument or technique used in medical diagnosis to identify or describe a health disease or condition.</w:t>
      </w:r>
    </w:p>
    <w:p w:rsidR="00000000" w:rsidDel="00000000" w:rsidP="00000000" w:rsidRDefault="00000000" w:rsidRPr="00000000" w14:paraId="00000035">
      <w:pPr>
        <w:numPr>
          <w:ilvl w:val="0"/>
          <w:numId w:val="7"/>
        </w:numPr>
        <w:spacing w:after="180" w:lineRule="auto"/>
        <w:ind w:left="720" w:hanging="360"/>
      </w:pPr>
      <w:r w:rsidDel="00000000" w:rsidR="00000000" w:rsidRPr="00000000">
        <w:rPr>
          <w:b w:val="1"/>
          <w:color w:val="333333"/>
          <w:sz w:val="30"/>
          <w:szCs w:val="30"/>
          <w:highlight w:val="white"/>
          <w:rtl w:val="0"/>
        </w:rPr>
        <w:t xml:space="preserve">Zero Emission Heavy Equipment Vehicles</w:t>
      </w:r>
      <w:r w:rsidDel="00000000" w:rsidR="00000000" w:rsidRPr="00000000">
        <w:rPr>
          <w:color w:val="333333"/>
          <w:sz w:val="30"/>
          <w:szCs w:val="30"/>
          <w:highlight w:val="white"/>
          <w:rtl w:val="0"/>
        </w:rPr>
        <w:t xml:space="preserve"> includes manufacturers of urban and intercity buses, fire trucks, motorhomes, recreational vehicles, trailers, mobile agricultural, construction and mining equipment, and their associated suppliers.  Related technologies include battery electric and hydrogen fuel cell drives, electrification of ancillary systems, material light weighting and others.</w:t>
      </w:r>
    </w:p>
    <w:p w:rsidR="00000000" w:rsidDel="00000000" w:rsidP="00000000" w:rsidRDefault="00000000" w:rsidRPr="00000000" w14:paraId="00000036">
      <w:pPr>
        <w:keepNext w:val="0"/>
        <w:keepLines w:val="0"/>
        <w:spacing w:after="180" w:before="480" w:line="264" w:lineRule="auto"/>
        <w:rPr/>
      </w:pPr>
      <w:r w:rsidDel="00000000" w:rsidR="00000000" w:rsidRPr="00000000">
        <w:rPr>
          <w:rtl w:val="0"/>
        </w:rPr>
        <w:t xml:space="preserve">Eligible costs</w:t>
      </w:r>
    </w:p>
    <w:p w:rsidR="00000000" w:rsidDel="00000000" w:rsidP="00000000" w:rsidRDefault="00000000" w:rsidRPr="00000000" w14:paraId="00000037">
      <w:pPr>
        <w:spacing w:after="180" w:lineRule="auto"/>
        <w:rPr>
          <w:color w:val="333333"/>
          <w:sz w:val="30"/>
          <w:szCs w:val="30"/>
          <w:highlight w:val="white"/>
        </w:rPr>
      </w:pPr>
      <w:r w:rsidDel="00000000" w:rsidR="00000000" w:rsidRPr="00000000">
        <w:rPr>
          <w:color w:val="333333"/>
          <w:sz w:val="30"/>
          <w:szCs w:val="30"/>
          <w:highlight w:val="white"/>
          <w:rtl w:val="0"/>
        </w:rPr>
        <w:t xml:space="preserve">Up to 50% of eligible project costs:</w:t>
      </w:r>
    </w:p>
    <w:p w:rsidR="00000000" w:rsidDel="00000000" w:rsidP="00000000" w:rsidRDefault="00000000" w:rsidRPr="00000000" w14:paraId="00000038">
      <w:pPr>
        <w:numPr>
          <w:ilvl w:val="0"/>
          <w:numId w:val="1"/>
        </w:numPr>
        <w:spacing w:after="0" w:afterAutospacing="0" w:lineRule="auto"/>
        <w:ind w:left="720" w:hanging="360"/>
      </w:pPr>
      <w:r w:rsidDel="00000000" w:rsidR="00000000" w:rsidRPr="00000000">
        <w:rPr>
          <w:color w:val="333333"/>
          <w:sz w:val="30"/>
          <w:szCs w:val="30"/>
          <w:highlight w:val="white"/>
          <w:rtl w:val="0"/>
        </w:rPr>
        <w:t xml:space="preserve">minimum $200K; maximum $5M/project</w:t>
      </w:r>
    </w:p>
    <w:p w:rsidR="00000000" w:rsidDel="00000000" w:rsidP="00000000" w:rsidRDefault="00000000" w:rsidRPr="00000000" w14:paraId="00000039">
      <w:pPr>
        <w:numPr>
          <w:ilvl w:val="0"/>
          <w:numId w:val="1"/>
        </w:numPr>
        <w:spacing w:after="0" w:afterAutospacing="0" w:lineRule="auto"/>
        <w:ind w:left="720" w:hanging="360"/>
      </w:pPr>
      <w:r w:rsidDel="00000000" w:rsidR="00000000" w:rsidRPr="00000000">
        <w:rPr>
          <w:color w:val="333333"/>
          <w:sz w:val="30"/>
          <w:szCs w:val="30"/>
          <w:highlight w:val="white"/>
          <w:rtl w:val="0"/>
        </w:rPr>
        <w:t xml:space="preserve">maximum $10M to any one organization</w:t>
      </w:r>
    </w:p>
    <w:p w:rsidR="00000000" w:rsidDel="00000000" w:rsidP="00000000" w:rsidRDefault="00000000" w:rsidRPr="00000000" w14:paraId="0000003A">
      <w:pPr>
        <w:numPr>
          <w:ilvl w:val="0"/>
          <w:numId w:val="1"/>
        </w:numPr>
        <w:spacing w:after="0" w:afterAutospacing="0" w:lineRule="auto"/>
        <w:ind w:left="720" w:hanging="360"/>
      </w:pPr>
      <w:r w:rsidDel="00000000" w:rsidR="00000000" w:rsidRPr="00000000">
        <w:rPr>
          <w:color w:val="333333"/>
          <w:sz w:val="30"/>
          <w:szCs w:val="30"/>
          <w:highlight w:val="white"/>
          <w:rtl w:val="0"/>
        </w:rPr>
        <w:t xml:space="preserve">minimum 50% of total project funding required from confirmed non-government sources</w:t>
      </w:r>
    </w:p>
    <w:p w:rsidR="00000000" w:rsidDel="00000000" w:rsidP="00000000" w:rsidRDefault="00000000" w:rsidRPr="00000000" w14:paraId="0000003B">
      <w:pPr>
        <w:numPr>
          <w:ilvl w:val="0"/>
          <w:numId w:val="1"/>
        </w:numPr>
        <w:spacing w:after="180" w:lineRule="auto"/>
        <w:ind w:left="720" w:hanging="360"/>
      </w:pPr>
      <w:r w:rsidDel="00000000" w:rsidR="00000000" w:rsidRPr="00000000">
        <w:rPr>
          <w:color w:val="333333"/>
          <w:sz w:val="30"/>
          <w:szCs w:val="30"/>
          <w:highlight w:val="white"/>
          <w:rtl w:val="0"/>
        </w:rPr>
        <w:t xml:space="preserve">all non-WD sources must be confirmed - at time of application and after project approval</w:t>
      </w:r>
    </w:p>
    <w:p w:rsidR="00000000" w:rsidDel="00000000" w:rsidP="00000000" w:rsidRDefault="00000000" w:rsidRPr="00000000" w14:paraId="0000003C">
      <w:pPr>
        <w:spacing w:after="180" w:lineRule="auto"/>
        <w:rPr>
          <w:color w:val="333333"/>
          <w:sz w:val="30"/>
          <w:szCs w:val="30"/>
          <w:highlight w:val="white"/>
        </w:rPr>
      </w:pPr>
      <w:r w:rsidDel="00000000" w:rsidR="00000000" w:rsidRPr="00000000">
        <w:rPr>
          <w:color w:val="333333"/>
          <w:sz w:val="30"/>
          <w:szCs w:val="30"/>
          <w:highlight w:val="white"/>
          <w:rtl w:val="0"/>
        </w:rPr>
        <w:t xml:space="preserve">Incremental costs essential to the project. For example:</w:t>
      </w:r>
    </w:p>
    <w:p w:rsidR="00000000" w:rsidDel="00000000" w:rsidP="00000000" w:rsidRDefault="00000000" w:rsidRPr="00000000" w14:paraId="0000003D">
      <w:pPr>
        <w:numPr>
          <w:ilvl w:val="0"/>
          <w:numId w:val="3"/>
        </w:numPr>
        <w:spacing w:after="0" w:afterAutospacing="0" w:lineRule="auto"/>
        <w:ind w:left="720" w:hanging="360"/>
      </w:pPr>
      <w:r w:rsidDel="00000000" w:rsidR="00000000" w:rsidRPr="00000000">
        <w:rPr>
          <w:color w:val="333333"/>
          <w:sz w:val="30"/>
          <w:szCs w:val="30"/>
          <w:highlight w:val="white"/>
          <w:rtl w:val="0"/>
        </w:rPr>
        <w:t xml:space="preserve">capital costs (equipment, machinery)</w:t>
      </w:r>
    </w:p>
    <w:p w:rsidR="00000000" w:rsidDel="00000000" w:rsidP="00000000" w:rsidRDefault="00000000" w:rsidRPr="00000000" w14:paraId="0000003E">
      <w:pPr>
        <w:numPr>
          <w:ilvl w:val="0"/>
          <w:numId w:val="3"/>
        </w:numPr>
        <w:spacing w:after="0" w:afterAutospacing="0" w:lineRule="auto"/>
        <w:ind w:left="720" w:hanging="360"/>
      </w:pPr>
      <w:r w:rsidDel="00000000" w:rsidR="00000000" w:rsidRPr="00000000">
        <w:rPr>
          <w:color w:val="333333"/>
          <w:sz w:val="30"/>
          <w:szCs w:val="30"/>
          <w:highlight w:val="white"/>
          <w:rtl w:val="0"/>
        </w:rPr>
        <w:t xml:space="preserve">labour (wages, benefits)</w:t>
      </w:r>
    </w:p>
    <w:p w:rsidR="00000000" w:rsidDel="00000000" w:rsidP="00000000" w:rsidRDefault="00000000" w:rsidRPr="00000000" w14:paraId="0000003F">
      <w:pPr>
        <w:numPr>
          <w:ilvl w:val="0"/>
          <w:numId w:val="3"/>
        </w:numPr>
        <w:spacing w:after="0" w:afterAutospacing="0" w:lineRule="auto"/>
        <w:ind w:left="720" w:hanging="360"/>
      </w:pPr>
      <w:r w:rsidDel="00000000" w:rsidR="00000000" w:rsidRPr="00000000">
        <w:rPr>
          <w:color w:val="333333"/>
          <w:sz w:val="30"/>
          <w:szCs w:val="30"/>
          <w:highlight w:val="white"/>
          <w:rtl w:val="0"/>
        </w:rPr>
        <w:t xml:space="preserve">marketing</w:t>
      </w:r>
    </w:p>
    <w:p w:rsidR="00000000" w:rsidDel="00000000" w:rsidP="00000000" w:rsidRDefault="00000000" w:rsidRPr="00000000" w14:paraId="00000040">
      <w:pPr>
        <w:numPr>
          <w:ilvl w:val="0"/>
          <w:numId w:val="3"/>
        </w:numPr>
        <w:spacing w:after="0" w:afterAutospacing="0" w:lineRule="auto"/>
        <w:ind w:left="720" w:hanging="360"/>
      </w:pPr>
      <w:r w:rsidDel="00000000" w:rsidR="00000000" w:rsidRPr="00000000">
        <w:rPr>
          <w:color w:val="333333"/>
          <w:sz w:val="30"/>
          <w:szCs w:val="30"/>
          <w:highlight w:val="white"/>
          <w:rtl w:val="0"/>
        </w:rPr>
        <w:t xml:space="preserve">costs related to intellectual property</w:t>
      </w:r>
    </w:p>
    <w:p w:rsidR="00000000" w:rsidDel="00000000" w:rsidP="00000000" w:rsidRDefault="00000000" w:rsidRPr="00000000" w14:paraId="00000041">
      <w:pPr>
        <w:numPr>
          <w:ilvl w:val="0"/>
          <w:numId w:val="3"/>
        </w:numPr>
        <w:spacing w:after="0" w:afterAutospacing="0" w:lineRule="auto"/>
        <w:ind w:left="720" w:hanging="360"/>
      </w:pPr>
      <w:r w:rsidDel="00000000" w:rsidR="00000000" w:rsidRPr="00000000">
        <w:rPr>
          <w:color w:val="333333"/>
          <w:sz w:val="30"/>
          <w:szCs w:val="30"/>
          <w:highlight w:val="white"/>
          <w:rtl w:val="0"/>
        </w:rPr>
        <w:t xml:space="preserve">technology development and commercial demonstrations</w:t>
      </w:r>
    </w:p>
    <w:p w:rsidR="00000000" w:rsidDel="00000000" w:rsidP="00000000" w:rsidRDefault="00000000" w:rsidRPr="00000000" w14:paraId="00000042">
      <w:pPr>
        <w:numPr>
          <w:ilvl w:val="0"/>
          <w:numId w:val="3"/>
        </w:numPr>
        <w:spacing w:after="180" w:lineRule="auto"/>
        <w:ind w:left="720" w:hanging="360"/>
      </w:pPr>
      <w:r w:rsidDel="00000000" w:rsidR="00000000" w:rsidRPr="00000000">
        <w:rPr>
          <w:color w:val="333333"/>
          <w:sz w:val="30"/>
          <w:szCs w:val="30"/>
          <w:highlight w:val="white"/>
          <w:rtl w:val="0"/>
        </w:rPr>
        <w:t xml:space="preserve">professional, advisory, technical services</w:t>
      </w:r>
    </w:p>
    <w:p w:rsidR="00000000" w:rsidDel="00000000" w:rsidP="00000000" w:rsidRDefault="00000000" w:rsidRPr="00000000" w14:paraId="00000043">
      <w:pPr>
        <w:keepNext w:val="0"/>
        <w:keepLines w:val="0"/>
        <w:spacing w:after="180" w:before="480" w:line="264" w:lineRule="auto"/>
        <w:rPr/>
      </w:pPr>
      <w:r w:rsidDel="00000000" w:rsidR="00000000" w:rsidRPr="00000000">
        <w:rPr>
          <w:rtl w:val="0"/>
        </w:rPr>
        <w:t xml:space="preserve">Ineligible costs</w:t>
      </w:r>
    </w:p>
    <w:p w:rsidR="00000000" w:rsidDel="00000000" w:rsidP="00000000" w:rsidRDefault="00000000" w:rsidRPr="00000000" w14:paraId="00000044">
      <w:pPr>
        <w:spacing w:after="180" w:lineRule="auto"/>
        <w:rPr>
          <w:color w:val="333333"/>
          <w:sz w:val="30"/>
          <w:szCs w:val="30"/>
          <w:highlight w:val="white"/>
        </w:rPr>
      </w:pPr>
      <w:r w:rsidDel="00000000" w:rsidR="00000000" w:rsidRPr="00000000">
        <w:rPr>
          <w:color w:val="333333"/>
          <w:sz w:val="30"/>
          <w:szCs w:val="30"/>
          <w:highlight w:val="white"/>
          <w:rtl w:val="0"/>
        </w:rPr>
        <w:t xml:space="preserve">Costs deemed unreasonable, non-incremental and/or not directly related to project activities, for example:</w:t>
      </w:r>
    </w:p>
    <w:p w:rsidR="00000000" w:rsidDel="00000000" w:rsidP="00000000" w:rsidRDefault="00000000" w:rsidRPr="00000000" w14:paraId="00000045">
      <w:pPr>
        <w:numPr>
          <w:ilvl w:val="0"/>
          <w:numId w:val="10"/>
        </w:numPr>
        <w:spacing w:after="0" w:afterAutospacing="0" w:lineRule="auto"/>
        <w:ind w:left="720" w:hanging="360"/>
      </w:pPr>
      <w:r w:rsidDel="00000000" w:rsidR="00000000" w:rsidRPr="00000000">
        <w:rPr>
          <w:color w:val="333333"/>
          <w:sz w:val="30"/>
          <w:szCs w:val="30"/>
          <w:highlight w:val="white"/>
          <w:rtl w:val="0"/>
        </w:rPr>
        <w:t xml:space="preserve">basic and applied R&amp;D (</w:t>
      </w:r>
      <w:hyperlink r:id="rId22">
        <w:r w:rsidDel="00000000" w:rsidR="00000000" w:rsidRPr="00000000">
          <w:rPr>
            <w:color w:val="284162"/>
            <w:sz w:val="30"/>
            <w:szCs w:val="30"/>
            <w:highlight w:val="white"/>
            <w:u w:val="single"/>
            <w:rtl w:val="0"/>
          </w:rPr>
          <w:t xml:space="preserve">Technology Readiness Level 1-6</w:t>
        </w:r>
      </w:hyperlink>
      <w:r w:rsidDel="00000000" w:rsidR="00000000" w:rsidRPr="00000000">
        <w:rPr>
          <w:color w:val="333333"/>
          <w:sz w:val="30"/>
          <w:szCs w:val="30"/>
          <w:highlight w:val="white"/>
          <w:rtl w:val="0"/>
        </w:rPr>
        <w:t xml:space="preserve">)</w:t>
      </w:r>
    </w:p>
    <w:p w:rsidR="00000000" w:rsidDel="00000000" w:rsidP="00000000" w:rsidRDefault="00000000" w:rsidRPr="00000000" w14:paraId="00000046">
      <w:pPr>
        <w:numPr>
          <w:ilvl w:val="0"/>
          <w:numId w:val="10"/>
        </w:numPr>
        <w:spacing w:after="0" w:afterAutospacing="0" w:lineRule="auto"/>
        <w:ind w:left="720" w:hanging="360"/>
      </w:pPr>
      <w:r w:rsidDel="00000000" w:rsidR="00000000" w:rsidRPr="00000000">
        <w:rPr>
          <w:color w:val="333333"/>
          <w:sz w:val="30"/>
          <w:szCs w:val="30"/>
          <w:highlight w:val="white"/>
          <w:rtl w:val="0"/>
        </w:rPr>
        <w:t xml:space="preserve">land and buildings</w:t>
      </w:r>
    </w:p>
    <w:p w:rsidR="00000000" w:rsidDel="00000000" w:rsidP="00000000" w:rsidRDefault="00000000" w:rsidRPr="00000000" w14:paraId="00000047">
      <w:pPr>
        <w:numPr>
          <w:ilvl w:val="0"/>
          <w:numId w:val="10"/>
        </w:numPr>
        <w:spacing w:after="0" w:afterAutospacing="0" w:lineRule="auto"/>
        <w:ind w:left="720" w:hanging="360"/>
      </w:pPr>
      <w:r w:rsidDel="00000000" w:rsidR="00000000" w:rsidRPr="00000000">
        <w:rPr>
          <w:color w:val="333333"/>
          <w:sz w:val="30"/>
          <w:szCs w:val="30"/>
          <w:highlight w:val="white"/>
          <w:rtl w:val="0"/>
        </w:rPr>
        <w:t xml:space="preserve">salary bonuses and dividend payments</w:t>
      </w:r>
    </w:p>
    <w:p w:rsidR="00000000" w:rsidDel="00000000" w:rsidP="00000000" w:rsidRDefault="00000000" w:rsidRPr="00000000" w14:paraId="00000048">
      <w:pPr>
        <w:numPr>
          <w:ilvl w:val="0"/>
          <w:numId w:val="10"/>
        </w:numPr>
        <w:spacing w:after="0" w:afterAutospacing="0" w:lineRule="auto"/>
        <w:ind w:left="720" w:hanging="360"/>
      </w:pPr>
      <w:r w:rsidDel="00000000" w:rsidR="00000000" w:rsidRPr="00000000">
        <w:rPr>
          <w:color w:val="333333"/>
          <w:sz w:val="30"/>
          <w:szCs w:val="30"/>
          <w:highlight w:val="white"/>
          <w:rtl w:val="0"/>
        </w:rPr>
        <w:t xml:space="preserve">entertainment expenses</w:t>
      </w:r>
    </w:p>
    <w:p w:rsidR="00000000" w:rsidDel="00000000" w:rsidP="00000000" w:rsidRDefault="00000000" w:rsidRPr="00000000" w14:paraId="00000049">
      <w:pPr>
        <w:numPr>
          <w:ilvl w:val="0"/>
          <w:numId w:val="10"/>
        </w:numPr>
        <w:spacing w:after="0" w:afterAutospacing="0" w:lineRule="auto"/>
        <w:ind w:left="720" w:hanging="360"/>
      </w:pPr>
      <w:r w:rsidDel="00000000" w:rsidR="00000000" w:rsidRPr="00000000">
        <w:rPr>
          <w:color w:val="333333"/>
          <w:sz w:val="30"/>
          <w:szCs w:val="30"/>
          <w:highlight w:val="white"/>
          <w:rtl w:val="0"/>
        </w:rPr>
        <w:t xml:space="preserve">refinancing of existing debts</w:t>
      </w:r>
    </w:p>
    <w:p w:rsidR="00000000" w:rsidDel="00000000" w:rsidP="00000000" w:rsidRDefault="00000000" w:rsidRPr="00000000" w14:paraId="0000004A">
      <w:pPr>
        <w:numPr>
          <w:ilvl w:val="0"/>
          <w:numId w:val="10"/>
        </w:numPr>
        <w:spacing w:after="0" w:afterAutospacing="0" w:lineRule="auto"/>
        <w:ind w:left="720" w:hanging="360"/>
      </w:pPr>
      <w:r w:rsidDel="00000000" w:rsidR="00000000" w:rsidRPr="00000000">
        <w:rPr>
          <w:color w:val="333333"/>
          <w:sz w:val="30"/>
          <w:szCs w:val="30"/>
          <w:highlight w:val="white"/>
          <w:rtl w:val="0"/>
        </w:rPr>
        <w:t xml:space="preserve">amortization or depreciation of assets</w:t>
      </w:r>
    </w:p>
    <w:p w:rsidR="00000000" w:rsidDel="00000000" w:rsidP="00000000" w:rsidRDefault="00000000" w:rsidRPr="00000000" w14:paraId="0000004B">
      <w:pPr>
        <w:numPr>
          <w:ilvl w:val="0"/>
          <w:numId w:val="10"/>
        </w:numPr>
        <w:spacing w:after="180" w:lineRule="auto"/>
        <w:ind w:left="720" w:hanging="360"/>
      </w:pPr>
      <w:r w:rsidDel="00000000" w:rsidR="00000000" w:rsidRPr="00000000">
        <w:rPr>
          <w:color w:val="333333"/>
          <w:sz w:val="30"/>
          <w:szCs w:val="30"/>
          <w:highlight w:val="white"/>
          <w:rtl w:val="0"/>
        </w:rPr>
        <w:t xml:space="preserve">lobbying activities</w:t>
      </w:r>
    </w:p>
    <w:p w:rsidR="00000000" w:rsidDel="00000000" w:rsidP="00000000" w:rsidRDefault="00000000" w:rsidRPr="00000000" w14:paraId="0000004C">
      <w:pPr>
        <w:spacing w:after="180" w:lineRule="auto"/>
        <w:rPr>
          <w:color w:val="333333"/>
          <w:sz w:val="30"/>
          <w:szCs w:val="30"/>
          <w:highlight w:val="white"/>
        </w:rPr>
      </w:pPr>
      <w:r w:rsidDel="00000000" w:rsidR="00000000" w:rsidRPr="00000000">
        <w:rPr>
          <w:color w:val="333333"/>
          <w:sz w:val="30"/>
          <w:szCs w:val="30"/>
          <w:highlight w:val="white"/>
          <w:rtl w:val="0"/>
        </w:rPr>
        <w:t xml:space="preserve">Donations, dues and membership fees are ineligible.</w:t>
      </w:r>
    </w:p>
    <w:p w:rsidR="00000000" w:rsidDel="00000000" w:rsidP="00000000" w:rsidRDefault="00000000" w:rsidRPr="00000000" w14:paraId="0000004D">
      <w:pPr>
        <w:keepNext w:val="0"/>
        <w:keepLines w:val="0"/>
        <w:spacing w:after="180" w:before="480" w:line="264" w:lineRule="auto"/>
        <w:rPr/>
      </w:pPr>
      <w:r w:rsidDel="00000000" w:rsidR="00000000" w:rsidRPr="00000000">
        <w:rPr>
          <w:rtl w:val="0"/>
        </w:rPr>
        <w:t xml:space="preserve">Expected results</w:t>
      </w:r>
    </w:p>
    <w:p w:rsidR="00000000" w:rsidDel="00000000" w:rsidP="00000000" w:rsidRDefault="00000000" w:rsidRPr="00000000" w14:paraId="0000004E">
      <w:pPr>
        <w:spacing w:after="180" w:lineRule="auto"/>
        <w:rPr>
          <w:b w:val="1"/>
          <w:color w:val="333333"/>
          <w:sz w:val="30"/>
          <w:szCs w:val="30"/>
          <w:highlight w:val="white"/>
        </w:rPr>
      </w:pPr>
      <w:r w:rsidDel="00000000" w:rsidR="00000000" w:rsidRPr="00000000">
        <w:rPr>
          <w:color w:val="333333"/>
          <w:sz w:val="30"/>
          <w:szCs w:val="30"/>
          <w:highlight w:val="white"/>
          <w:rtl w:val="0"/>
        </w:rPr>
        <w:t xml:space="preserve">WD is looking to support projects that have a viable plan to </w:t>
      </w:r>
      <w:r w:rsidDel="00000000" w:rsidR="00000000" w:rsidRPr="00000000">
        <w:rPr>
          <w:b w:val="1"/>
          <w:color w:val="333333"/>
          <w:sz w:val="30"/>
          <w:szCs w:val="30"/>
          <w:highlight w:val="white"/>
          <w:rtl w:val="0"/>
        </w:rPr>
        <w:t xml:space="preserve">produce strong economic outcomes.</w:t>
      </w:r>
    </w:p>
    <w:p w:rsidR="00000000" w:rsidDel="00000000" w:rsidP="00000000" w:rsidRDefault="00000000" w:rsidRPr="00000000" w14:paraId="0000004F">
      <w:pPr>
        <w:spacing w:after="180" w:lineRule="auto"/>
        <w:rPr>
          <w:color w:val="333333"/>
          <w:sz w:val="30"/>
          <w:szCs w:val="30"/>
          <w:highlight w:val="white"/>
        </w:rPr>
      </w:pPr>
      <w:r w:rsidDel="00000000" w:rsidR="00000000" w:rsidRPr="00000000">
        <w:rPr>
          <w:color w:val="333333"/>
          <w:sz w:val="30"/>
          <w:szCs w:val="30"/>
          <w:highlight w:val="white"/>
          <w:rtl w:val="0"/>
        </w:rPr>
        <w:t xml:space="preserve">Applicants must quantify, substantiate and later report on the following expected results:</w:t>
      </w:r>
    </w:p>
    <w:p w:rsidR="00000000" w:rsidDel="00000000" w:rsidP="00000000" w:rsidRDefault="00000000" w:rsidRPr="00000000" w14:paraId="00000050">
      <w:pPr>
        <w:numPr>
          <w:ilvl w:val="0"/>
          <w:numId w:val="4"/>
        </w:numPr>
        <w:spacing w:after="0" w:afterAutospacing="0" w:lineRule="auto"/>
        <w:ind w:left="720" w:hanging="360"/>
      </w:pPr>
      <w:r w:rsidDel="00000000" w:rsidR="00000000" w:rsidRPr="00000000">
        <w:rPr>
          <w:color w:val="333333"/>
          <w:sz w:val="30"/>
          <w:szCs w:val="30"/>
          <w:highlight w:val="white"/>
          <w:rtl w:val="0"/>
        </w:rPr>
        <w:t xml:space="preserve">number of high-quality personnel (HQP) jobs created in Canada</w:t>
      </w:r>
    </w:p>
    <w:p w:rsidR="00000000" w:rsidDel="00000000" w:rsidP="00000000" w:rsidRDefault="00000000" w:rsidRPr="00000000" w14:paraId="00000051">
      <w:pPr>
        <w:numPr>
          <w:ilvl w:val="0"/>
          <w:numId w:val="4"/>
        </w:numPr>
        <w:spacing w:after="0" w:afterAutospacing="0" w:lineRule="auto"/>
        <w:ind w:left="720" w:hanging="360"/>
      </w:pPr>
      <w:r w:rsidDel="00000000" w:rsidR="00000000" w:rsidRPr="00000000">
        <w:rPr>
          <w:color w:val="333333"/>
          <w:sz w:val="30"/>
          <w:szCs w:val="30"/>
          <w:highlight w:val="white"/>
          <w:rtl w:val="0"/>
        </w:rPr>
        <w:t xml:space="preserve">number of non-HQP jobs created in Canada</w:t>
      </w:r>
    </w:p>
    <w:p w:rsidR="00000000" w:rsidDel="00000000" w:rsidP="00000000" w:rsidRDefault="00000000" w:rsidRPr="00000000" w14:paraId="00000052">
      <w:pPr>
        <w:numPr>
          <w:ilvl w:val="0"/>
          <w:numId w:val="4"/>
        </w:numPr>
        <w:spacing w:after="0" w:afterAutospacing="0" w:lineRule="auto"/>
        <w:ind w:left="720" w:hanging="360"/>
      </w:pPr>
      <w:r w:rsidDel="00000000" w:rsidR="00000000" w:rsidRPr="00000000">
        <w:rPr>
          <w:color w:val="333333"/>
          <w:sz w:val="30"/>
          <w:szCs w:val="30"/>
          <w:highlight w:val="white"/>
          <w:rtl w:val="0"/>
        </w:rPr>
        <w:t xml:space="preserve">revenue growth ($)</w:t>
      </w:r>
    </w:p>
    <w:p w:rsidR="00000000" w:rsidDel="00000000" w:rsidP="00000000" w:rsidRDefault="00000000" w:rsidRPr="00000000" w14:paraId="00000053">
      <w:pPr>
        <w:numPr>
          <w:ilvl w:val="0"/>
          <w:numId w:val="4"/>
        </w:numPr>
        <w:spacing w:after="0" w:afterAutospacing="0" w:lineRule="auto"/>
        <w:ind w:left="720" w:hanging="360"/>
      </w:pPr>
      <w:r w:rsidDel="00000000" w:rsidR="00000000" w:rsidRPr="00000000">
        <w:rPr>
          <w:color w:val="333333"/>
          <w:sz w:val="30"/>
          <w:szCs w:val="30"/>
          <w:highlight w:val="white"/>
          <w:rtl w:val="0"/>
        </w:rPr>
        <w:t xml:space="preserve">export sales growth ($)</w:t>
      </w:r>
    </w:p>
    <w:p w:rsidR="00000000" w:rsidDel="00000000" w:rsidP="00000000" w:rsidRDefault="00000000" w:rsidRPr="00000000" w14:paraId="00000054">
      <w:pPr>
        <w:numPr>
          <w:ilvl w:val="0"/>
          <w:numId w:val="4"/>
        </w:numPr>
        <w:spacing w:after="180" w:lineRule="auto"/>
        <w:ind w:left="720" w:hanging="360"/>
      </w:pPr>
      <w:r w:rsidDel="00000000" w:rsidR="00000000" w:rsidRPr="00000000">
        <w:rPr>
          <w:color w:val="333333"/>
          <w:sz w:val="30"/>
          <w:szCs w:val="30"/>
          <w:highlight w:val="white"/>
          <w:rtl w:val="0"/>
        </w:rPr>
        <w:t xml:space="preserve">business sales growth resulting from commercialization ($) – where applicable</w:t>
      </w:r>
    </w:p>
    <w:p w:rsidR="00000000" w:rsidDel="00000000" w:rsidP="00000000" w:rsidRDefault="00000000" w:rsidRPr="00000000" w14:paraId="00000055">
      <w:pPr>
        <w:spacing w:after="180" w:lineRule="auto"/>
        <w:rPr>
          <w:b w:val="1"/>
          <w:color w:val="333333"/>
          <w:sz w:val="30"/>
          <w:szCs w:val="30"/>
          <w:highlight w:val="white"/>
        </w:rPr>
      </w:pPr>
      <w:r w:rsidDel="00000000" w:rsidR="00000000" w:rsidRPr="00000000">
        <w:rPr>
          <w:color w:val="333333"/>
          <w:sz w:val="30"/>
          <w:szCs w:val="30"/>
          <w:highlight w:val="white"/>
          <w:rtl w:val="0"/>
        </w:rPr>
        <w:t xml:space="preserve">WD is working to improve the economic participation of </w:t>
      </w:r>
      <w:r w:rsidDel="00000000" w:rsidR="00000000" w:rsidRPr="00000000">
        <w:rPr>
          <w:b w:val="1"/>
          <w:color w:val="333333"/>
          <w:sz w:val="30"/>
          <w:szCs w:val="30"/>
          <w:highlight w:val="white"/>
          <w:rtl w:val="0"/>
        </w:rPr>
        <w:t xml:space="preserve">Indigenous persons</w:t>
      </w:r>
      <w:r w:rsidDel="00000000" w:rsidR="00000000" w:rsidRPr="00000000">
        <w:rPr>
          <w:color w:val="333333"/>
          <w:sz w:val="30"/>
          <w:szCs w:val="30"/>
          <w:highlight w:val="white"/>
          <w:rtl w:val="0"/>
        </w:rPr>
        <w:t xml:space="preserve">, </w:t>
      </w:r>
      <w:r w:rsidDel="00000000" w:rsidR="00000000" w:rsidRPr="00000000">
        <w:rPr>
          <w:b w:val="1"/>
          <w:color w:val="333333"/>
          <w:sz w:val="30"/>
          <w:szCs w:val="30"/>
          <w:highlight w:val="white"/>
          <w:rtl w:val="0"/>
        </w:rPr>
        <w:t xml:space="preserve">women</w:t>
      </w:r>
      <w:r w:rsidDel="00000000" w:rsidR="00000000" w:rsidRPr="00000000">
        <w:rPr>
          <w:color w:val="333333"/>
          <w:sz w:val="30"/>
          <w:szCs w:val="30"/>
          <w:highlight w:val="white"/>
          <w:rtl w:val="0"/>
        </w:rPr>
        <w:t xml:space="preserve"> and </w:t>
      </w:r>
      <w:r w:rsidDel="00000000" w:rsidR="00000000" w:rsidRPr="00000000">
        <w:rPr>
          <w:b w:val="1"/>
          <w:color w:val="333333"/>
          <w:sz w:val="30"/>
          <w:szCs w:val="30"/>
          <w:highlight w:val="white"/>
          <w:rtl w:val="0"/>
        </w:rPr>
        <w:t xml:space="preserve">youth.</w:t>
      </w:r>
    </w:p>
    <w:p w:rsidR="00000000" w:rsidDel="00000000" w:rsidP="00000000" w:rsidRDefault="00000000" w:rsidRPr="00000000" w14:paraId="00000056">
      <w:pPr>
        <w:spacing w:after="180" w:lineRule="auto"/>
        <w:rPr>
          <w:color w:val="284162"/>
          <w:sz w:val="30"/>
          <w:szCs w:val="30"/>
          <w:highlight w:val="white"/>
          <w:u w:val="single"/>
        </w:rPr>
      </w:pPr>
      <w:r w:rsidDel="00000000" w:rsidR="00000000" w:rsidRPr="00000000">
        <w:rPr>
          <w:color w:val="333333"/>
          <w:sz w:val="30"/>
          <w:szCs w:val="30"/>
          <w:highlight w:val="white"/>
          <w:rtl w:val="0"/>
        </w:rPr>
        <w:t xml:space="preserve">Applicants are encouraged to report on efforts to support inclusiveness. Refer to the Government of Canada’s </w:t>
      </w:r>
      <w:hyperlink r:id="rId23">
        <w:r w:rsidDel="00000000" w:rsidR="00000000" w:rsidRPr="00000000">
          <w:rPr>
            <w:color w:val="284162"/>
            <w:sz w:val="30"/>
            <w:szCs w:val="30"/>
            <w:highlight w:val="white"/>
            <w:u w:val="single"/>
            <w:rtl w:val="0"/>
          </w:rPr>
          <w:t xml:space="preserve">Inclusive Innovation Agenda</w:t>
        </w:r>
      </w:hyperlink>
      <w:r w:rsidDel="00000000" w:rsidR="00000000" w:rsidRPr="00000000">
        <w:rPr>
          <w:rtl w:val="0"/>
        </w:rPr>
      </w:r>
    </w:p>
    <w:p w:rsidR="00000000" w:rsidDel="00000000" w:rsidP="00000000" w:rsidRDefault="00000000" w:rsidRPr="00000000" w14:paraId="00000057">
      <w:pPr>
        <w:keepNext w:val="0"/>
        <w:keepLines w:val="0"/>
        <w:spacing w:after="180" w:before="580" w:line="264" w:lineRule="auto"/>
        <w:rPr/>
      </w:pPr>
      <w:r w:rsidDel="00000000" w:rsidR="00000000" w:rsidRPr="00000000">
        <w:rPr>
          <w:rtl w:val="0"/>
        </w:rPr>
        <w:t xml:space="preserve">When to submit an expression of interest</w:t>
      </w:r>
    </w:p>
    <w:p w:rsidR="00000000" w:rsidDel="00000000" w:rsidP="00000000" w:rsidRDefault="00000000" w:rsidRPr="00000000" w14:paraId="00000058">
      <w:pPr>
        <w:spacing w:after="180" w:lineRule="auto"/>
        <w:rPr>
          <w:color w:val="333333"/>
          <w:sz w:val="30"/>
          <w:szCs w:val="30"/>
          <w:highlight w:val="white"/>
        </w:rPr>
      </w:pPr>
      <w:r w:rsidDel="00000000" w:rsidR="00000000" w:rsidRPr="00000000">
        <w:rPr>
          <w:color w:val="333333"/>
          <w:sz w:val="30"/>
          <w:szCs w:val="30"/>
          <w:highlight w:val="white"/>
          <w:rtl w:val="0"/>
        </w:rPr>
        <w:t xml:space="preserve">WD’s latest intake closed on April 14, 2021 at 2:00 pm (MDT). The next intake period will be announced at a later date.</w:t>
      </w:r>
    </w:p>
    <w:p w:rsidR="00000000" w:rsidDel="00000000" w:rsidP="00000000" w:rsidRDefault="00000000" w:rsidRPr="00000000" w14:paraId="00000059">
      <w:pPr>
        <w:spacing w:after="180" w:lineRule="auto"/>
        <w:rPr>
          <w:color w:val="333333"/>
          <w:sz w:val="30"/>
          <w:szCs w:val="30"/>
          <w:highlight w:val="white"/>
        </w:rPr>
      </w:pPr>
      <w:r w:rsidDel="00000000" w:rsidR="00000000" w:rsidRPr="00000000">
        <w:rPr>
          <w:color w:val="333333"/>
          <w:sz w:val="30"/>
          <w:szCs w:val="30"/>
          <w:highlight w:val="white"/>
          <w:rtl w:val="0"/>
        </w:rPr>
        <w:t xml:space="preserve">Within 30 calendar days of the close of the intake, WD will invite selected companies to submit a full application for funding consideration. If you have not been contacted, your project will not be considered further.</w:t>
      </w:r>
    </w:p>
    <w:p w:rsidR="00000000" w:rsidDel="00000000" w:rsidP="00000000" w:rsidRDefault="00000000" w:rsidRPr="00000000" w14:paraId="0000005A">
      <w:pPr>
        <w:spacing w:after="180" w:lineRule="auto"/>
        <w:rPr>
          <w:color w:val="333333"/>
          <w:sz w:val="30"/>
          <w:szCs w:val="30"/>
          <w:highlight w:val="white"/>
        </w:rPr>
      </w:pPr>
      <w:r w:rsidDel="00000000" w:rsidR="00000000" w:rsidRPr="00000000">
        <w:rPr>
          <w:color w:val="333333"/>
          <w:sz w:val="30"/>
          <w:szCs w:val="30"/>
          <w:highlight w:val="white"/>
          <w:rtl w:val="0"/>
        </w:rPr>
        <w:t xml:space="preserve">WD will accept only one expression of interest (EOI) per business for each intake. In addition, businesses will be limited to one successful application per year. EOIs that have not been invited to submit an application, will not be automatically considered in subsequent intakes. Re-submission of your EOI in a future intake will be required.</w:t>
      </w:r>
    </w:p>
    <w:p w:rsidR="00000000" w:rsidDel="00000000" w:rsidP="00000000" w:rsidRDefault="00000000" w:rsidRPr="00000000" w14:paraId="0000005B">
      <w:pPr>
        <w:keepNext w:val="0"/>
        <w:keepLines w:val="0"/>
        <w:spacing w:after="180" w:before="580" w:line="264" w:lineRule="auto"/>
        <w:rPr/>
      </w:pPr>
      <w:r w:rsidDel="00000000" w:rsidR="00000000" w:rsidRPr="00000000">
        <w:rPr>
          <w:rtl w:val="0"/>
        </w:rPr>
        <w:t xml:space="preserve">How to submit an expression of interest</w:t>
      </w:r>
    </w:p>
    <w:p w:rsidR="00000000" w:rsidDel="00000000" w:rsidP="00000000" w:rsidRDefault="00000000" w:rsidRPr="00000000" w14:paraId="0000005C">
      <w:pPr>
        <w:numPr>
          <w:ilvl w:val="0"/>
          <w:numId w:val="6"/>
        </w:numPr>
        <w:spacing w:after="0" w:afterAutospacing="0" w:lineRule="auto"/>
        <w:ind w:left="720" w:hanging="360"/>
      </w:pPr>
      <w:r w:rsidDel="00000000" w:rsidR="00000000" w:rsidRPr="00000000">
        <w:rPr>
          <w:color w:val="333333"/>
          <w:sz w:val="30"/>
          <w:szCs w:val="30"/>
          <w:highlight w:val="white"/>
          <w:rtl w:val="0"/>
        </w:rPr>
        <w:t xml:space="preserve">Go through the </w:t>
      </w:r>
      <w:hyperlink r:id="rId24">
        <w:r w:rsidDel="00000000" w:rsidR="00000000" w:rsidRPr="00000000">
          <w:rPr>
            <w:color w:val="284162"/>
            <w:sz w:val="30"/>
            <w:szCs w:val="30"/>
            <w:highlight w:val="white"/>
            <w:u w:val="single"/>
            <w:rtl w:val="0"/>
          </w:rPr>
          <w:t xml:space="preserve">BSP EOI help guide</w:t>
        </w:r>
      </w:hyperlink>
      <w:r w:rsidDel="00000000" w:rsidR="00000000" w:rsidRPr="00000000">
        <w:rPr>
          <w:color w:val="333333"/>
          <w:sz w:val="30"/>
          <w:szCs w:val="30"/>
          <w:highlight w:val="white"/>
          <w:rtl w:val="0"/>
        </w:rPr>
        <w:t xml:space="preserve"> before submitting. We strongly recommend that you download or bookmark the guide now for reference while completing the EOI form.</w:t>
      </w:r>
    </w:p>
    <w:p w:rsidR="00000000" w:rsidDel="00000000" w:rsidP="00000000" w:rsidRDefault="00000000" w:rsidRPr="00000000" w14:paraId="0000005D">
      <w:pPr>
        <w:numPr>
          <w:ilvl w:val="0"/>
          <w:numId w:val="6"/>
        </w:numPr>
        <w:spacing w:after="0" w:afterAutospacing="0" w:lineRule="auto"/>
        <w:ind w:left="720" w:hanging="360"/>
      </w:pPr>
      <w:r w:rsidDel="00000000" w:rsidR="00000000" w:rsidRPr="00000000">
        <w:rPr>
          <w:color w:val="333333"/>
          <w:sz w:val="30"/>
          <w:szCs w:val="30"/>
          <w:highlight w:val="white"/>
          <w:rtl w:val="0"/>
        </w:rPr>
        <w:t xml:space="preserve">Prepare the following documents to submit along with your EOI:</w:t>
      </w:r>
    </w:p>
    <w:p w:rsidR="00000000" w:rsidDel="00000000" w:rsidP="00000000" w:rsidRDefault="00000000" w:rsidRPr="00000000" w14:paraId="0000005E">
      <w:pPr>
        <w:numPr>
          <w:ilvl w:val="1"/>
          <w:numId w:val="6"/>
        </w:numPr>
        <w:spacing w:after="0" w:afterAutospacing="0" w:lineRule="auto"/>
        <w:ind w:left="1440" w:hanging="360"/>
      </w:pPr>
      <w:r w:rsidDel="00000000" w:rsidR="00000000" w:rsidRPr="00000000">
        <w:rPr>
          <w:color w:val="333333"/>
          <w:sz w:val="30"/>
          <w:szCs w:val="30"/>
          <w:highlight w:val="white"/>
          <w:rtl w:val="0"/>
        </w:rPr>
        <w:t xml:space="preserve">financial statements for the past 2 years, as well as interim financial statements for at least the last 6-month period</w:t>
      </w:r>
    </w:p>
    <w:p w:rsidR="00000000" w:rsidDel="00000000" w:rsidP="00000000" w:rsidRDefault="00000000" w:rsidRPr="00000000" w14:paraId="0000005F">
      <w:pPr>
        <w:numPr>
          <w:ilvl w:val="1"/>
          <w:numId w:val="6"/>
        </w:numPr>
        <w:spacing w:after="0" w:afterAutospacing="0" w:lineRule="auto"/>
        <w:ind w:left="1440" w:hanging="360"/>
      </w:pPr>
      <w:r w:rsidDel="00000000" w:rsidR="00000000" w:rsidRPr="00000000">
        <w:rPr>
          <w:color w:val="333333"/>
          <w:sz w:val="30"/>
          <w:szCs w:val="30"/>
          <w:highlight w:val="white"/>
          <w:rtl w:val="0"/>
        </w:rPr>
        <w:t xml:space="preserve">other supporting information (e.g. business plan, pitch deck) detailing your organization, how it meets the high-growth definition, and details about the proposed project</w:t>
      </w:r>
    </w:p>
    <w:p w:rsidR="00000000" w:rsidDel="00000000" w:rsidP="00000000" w:rsidRDefault="00000000" w:rsidRPr="00000000" w14:paraId="00000060">
      <w:pPr>
        <w:numPr>
          <w:ilvl w:val="1"/>
          <w:numId w:val="6"/>
        </w:numPr>
        <w:spacing w:after="0" w:afterAutospacing="0" w:lineRule="auto"/>
        <w:ind w:left="1440" w:hanging="360"/>
      </w:pPr>
      <w:r w:rsidDel="00000000" w:rsidR="00000000" w:rsidRPr="00000000">
        <w:rPr>
          <w:color w:val="333333"/>
          <w:sz w:val="30"/>
          <w:szCs w:val="30"/>
          <w:highlight w:val="white"/>
          <w:rtl w:val="0"/>
        </w:rPr>
        <w:t xml:space="preserve">confirmation of other funding sources (e.g. bank statements, unused portion of lines of credit, official letters of intent, funding agreements, signed term sheets):</w:t>
      </w:r>
    </w:p>
    <w:p w:rsidR="00000000" w:rsidDel="00000000" w:rsidP="00000000" w:rsidRDefault="00000000" w:rsidRPr="00000000" w14:paraId="00000061">
      <w:pPr>
        <w:numPr>
          <w:ilvl w:val="2"/>
          <w:numId w:val="6"/>
        </w:numPr>
        <w:spacing w:after="0" w:afterAutospacing="0" w:lineRule="auto"/>
        <w:ind w:left="2160" w:hanging="360"/>
      </w:pPr>
      <w:r w:rsidDel="00000000" w:rsidR="00000000" w:rsidRPr="00000000">
        <w:rPr>
          <w:color w:val="333333"/>
          <w:sz w:val="30"/>
          <w:szCs w:val="30"/>
          <w:highlight w:val="white"/>
          <w:rtl w:val="0"/>
        </w:rPr>
        <w:t xml:space="preserve">funding provided by applicant:</w:t>
      </w:r>
    </w:p>
    <w:p w:rsidR="00000000" w:rsidDel="00000000" w:rsidP="00000000" w:rsidRDefault="00000000" w:rsidRPr="00000000" w14:paraId="00000062">
      <w:pPr>
        <w:numPr>
          <w:ilvl w:val="3"/>
          <w:numId w:val="6"/>
        </w:numPr>
        <w:spacing w:after="0" w:afterAutospacing="0" w:lineRule="auto"/>
        <w:ind w:left="2880" w:hanging="360"/>
      </w:pPr>
      <w:r w:rsidDel="00000000" w:rsidR="00000000" w:rsidRPr="00000000">
        <w:rPr>
          <w:color w:val="333333"/>
          <w:sz w:val="30"/>
          <w:szCs w:val="30"/>
          <w:highlight w:val="white"/>
          <w:rtl w:val="0"/>
        </w:rPr>
        <w:t xml:space="preserve">current bank statements detailing existing cash balances or the unused portion of lines of credit</w:t>
      </w:r>
    </w:p>
    <w:p w:rsidR="00000000" w:rsidDel="00000000" w:rsidP="00000000" w:rsidRDefault="00000000" w:rsidRPr="00000000" w14:paraId="00000063">
      <w:pPr>
        <w:numPr>
          <w:ilvl w:val="2"/>
          <w:numId w:val="6"/>
        </w:numPr>
        <w:spacing w:after="0" w:afterAutospacing="0" w:lineRule="auto"/>
        <w:ind w:left="2160" w:hanging="360"/>
      </w:pPr>
      <w:r w:rsidDel="00000000" w:rsidR="00000000" w:rsidRPr="00000000">
        <w:rPr>
          <w:color w:val="333333"/>
          <w:sz w:val="30"/>
          <w:szCs w:val="30"/>
          <w:highlight w:val="white"/>
          <w:rtl w:val="0"/>
        </w:rPr>
        <w:t xml:space="preserve">funding provided by third-party sources:</w:t>
      </w:r>
    </w:p>
    <w:p w:rsidR="00000000" w:rsidDel="00000000" w:rsidP="00000000" w:rsidRDefault="00000000" w:rsidRPr="00000000" w14:paraId="00000064">
      <w:pPr>
        <w:numPr>
          <w:ilvl w:val="3"/>
          <w:numId w:val="6"/>
        </w:numPr>
        <w:spacing w:after="0" w:afterAutospacing="0" w:lineRule="auto"/>
        <w:ind w:left="2880" w:hanging="360"/>
      </w:pPr>
      <w:r w:rsidDel="00000000" w:rsidR="00000000" w:rsidRPr="00000000">
        <w:rPr>
          <w:color w:val="333333"/>
          <w:sz w:val="30"/>
          <w:szCs w:val="30"/>
          <w:highlight w:val="white"/>
          <w:rtl w:val="0"/>
        </w:rPr>
        <w:t xml:space="preserve">official letters of confirmed/conditional funding</w:t>
      </w:r>
    </w:p>
    <w:p w:rsidR="00000000" w:rsidDel="00000000" w:rsidP="00000000" w:rsidRDefault="00000000" w:rsidRPr="00000000" w14:paraId="00000065">
      <w:pPr>
        <w:numPr>
          <w:ilvl w:val="3"/>
          <w:numId w:val="6"/>
        </w:numPr>
        <w:spacing w:after="0" w:afterAutospacing="0" w:lineRule="auto"/>
        <w:ind w:left="2880" w:hanging="360"/>
      </w:pPr>
      <w:r w:rsidDel="00000000" w:rsidR="00000000" w:rsidRPr="00000000">
        <w:rPr>
          <w:color w:val="333333"/>
          <w:sz w:val="30"/>
          <w:szCs w:val="30"/>
          <w:highlight w:val="white"/>
          <w:rtl w:val="0"/>
        </w:rPr>
        <w:t xml:space="preserve">funding agreements</w:t>
      </w:r>
    </w:p>
    <w:p w:rsidR="00000000" w:rsidDel="00000000" w:rsidP="00000000" w:rsidRDefault="00000000" w:rsidRPr="00000000" w14:paraId="00000066">
      <w:pPr>
        <w:numPr>
          <w:ilvl w:val="3"/>
          <w:numId w:val="6"/>
        </w:numPr>
        <w:spacing w:after="180" w:lineRule="auto"/>
        <w:ind w:left="2880" w:hanging="360"/>
      </w:pPr>
      <w:r w:rsidDel="00000000" w:rsidR="00000000" w:rsidRPr="00000000">
        <w:rPr>
          <w:color w:val="333333"/>
          <w:sz w:val="30"/>
          <w:szCs w:val="30"/>
          <w:highlight w:val="white"/>
          <w:rtl w:val="0"/>
        </w:rPr>
        <w:t xml:space="preserve">signed term sheets</w:t>
      </w:r>
    </w:p>
    <w:p w:rsidR="00000000" w:rsidDel="00000000" w:rsidP="00000000" w:rsidRDefault="00000000" w:rsidRPr="00000000" w14:paraId="00000067">
      <w:pPr>
        <w:spacing w:after="180" w:lineRule="auto"/>
        <w:rPr>
          <w:color w:val="333333"/>
          <w:sz w:val="30"/>
          <w:szCs w:val="30"/>
          <w:highlight w:val="white"/>
        </w:rPr>
      </w:pPr>
      <w:r w:rsidDel="00000000" w:rsidR="00000000" w:rsidRPr="00000000">
        <w:rPr>
          <w:color w:val="333333"/>
          <w:sz w:val="30"/>
          <w:szCs w:val="30"/>
          <w:highlight w:val="white"/>
          <w:rtl w:val="0"/>
        </w:rPr>
        <w:t xml:space="preserve">Note that we will not accept the following as confirmed funding:</w:t>
      </w:r>
    </w:p>
    <w:p w:rsidR="00000000" w:rsidDel="00000000" w:rsidP="00000000" w:rsidRDefault="00000000" w:rsidRPr="00000000" w14:paraId="00000068">
      <w:pPr>
        <w:numPr>
          <w:ilvl w:val="0"/>
          <w:numId w:val="14"/>
        </w:numPr>
        <w:spacing w:after="0" w:afterAutospacing="0" w:lineRule="auto"/>
        <w:ind w:left="720" w:hanging="360"/>
      </w:pPr>
      <w:r w:rsidDel="00000000" w:rsidR="00000000" w:rsidRPr="00000000">
        <w:rPr>
          <w:color w:val="333333"/>
          <w:sz w:val="30"/>
          <w:szCs w:val="30"/>
          <w:highlight w:val="white"/>
          <w:rtl w:val="0"/>
        </w:rPr>
        <w:t xml:space="preserve">forecasted revenues from future activities</w:t>
      </w:r>
    </w:p>
    <w:p w:rsidR="00000000" w:rsidDel="00000000" w:rsidP="00000000" w:rsidRDefault="00000000" w:rsidRPr="00000000" w14:paraId="00000069">
      <w:pPr>
        <w:numPr>
          <w:ilvl w:val="0"/>
          <w:numId w:val="14"/>
        </w:numPr>
        <w:spacing w:after="0" w:afterAutospacing="0" w:lineRule="auto"/>
        <w:ind w:left="720" w:hanging="360"/>
      </w:pPr>
      <w:r w:rsidDel="00000000" w:rsidR="00000000" w:rsidRPr="00000000">
        <w:rPr>
          <w:color w:val="333333"/>
          <w:sz w:val="30"/>
          <w:szCs w:val="30"/>
          <w:highlight w:val="white"/>
          <w:rtl w:val="0"/>
        </w:rPr>
        <w:t xml:space="preserve">accounts receivables</w:t>
      </w:r>
    </w:p>
    <w:p w:rsidR="00000000" w:rsidDel="00000000" w:rsidP="00000000" w:rsidRDefault="00000000" w:rsidRPr="00000000" w14:paraId="0000006A">
      <w:pPr>
        <w:numPr>
          <w:ilvl w:val="0"/>
          <w:numId w:val="14"/>
        </w:numPr>
        <w:spacing w:after="0" w:afterAutospacing="0" w:lineRule="auto"/>
        <w:ind w:left="720" w:hanging="360"/>
      </w:pPr>
      <w:r w:rsidDel="00000000" w:rsidR="00000000" w:rsidRPr="00000000">
        <w:rPr>
          <w:color w:val="333333"/>
          <w:sz w:val="30"/>
          <w:szCs w:val="30"/>
          <w:highlight w:val="white"/>
          <w:rtl w:val="0"/>
        </w:rPr>
        <w:t xml:space="preserve">commitments to raise equity or to obtain future bank financing</w:t>
      </w:r>
    </w:p>
    <w:p w:rsidR="00000000" w:rsidDel="00000000" w:rsidP="00000000" w:rsidRDefault="00000000" w:rsidRPr="00000000" w14:paraId="0000006B">
      <w:pPr>
        <w:numPr>
          <w:ilvl w:val="0"/>
          <w:numId w:val="14"/>
        </w:numPr>
        <w:spacing w:after="180" w:lineRule="auto"/>
        <w:ind w:left="720" w:hanging="360"/>
      </w:pPr>
      <w:r w:rsidDel="00000000" w:rsidR="00000000" w:rsidRPr="00000000">
        <w:rPr>
          <w:color w:val="333333"/>
          <w:sz w:val="30"/>
          <w:szCs w:val="30"/>
          <w:highlight w:val="white"/>
          <w:rtl w:val="0"/>
        </w:rPr>
        <w:t xml:space="preserve">Scientific Research &amp; Experimental Development (SR&amp;ED) credit receivables</w:t>
      </w:r>
    </w:p>
    <w:p w:rsidR="00000000" w:rsidDel="00000000" w:rsidP="00000000" w:rsidRDefault="00000000" w:rsidRPr="00000000" w14:paraId="0000006C">
      <w:pPr>
        <w:keepNext w:val="0"/>
        <w:keepLines w:val="0"/>
        <w:spacing w:after="180" w:before="580" w:line="264" w:lineRule="auto"/>
        <w:rPr/>
      </w:pPr>
      <w:r w:rsidDel="00000000" w:rsidR="00000000" w:rsidRPr="00000000">
        <w:rPr>
          <w:rtl w:val="0"/>
        </w:rPr>
        <w:t xml:space="preserve">After submitting an expression of interest</w:t>
      </w:r>
    </w:p>
    <w:p w:rsidR="00000000" w:rsidDel="00000000" w:rsidP="00000000" w:rsidRDefault="00000000" w:rsidRPr="00000000" w14:paraId="0000006D">
      <w:pPr>
        <w:keepNext w:val="0"/>
        <w:keepLines w:val="0"/>
        <w:spacing w:after="180" w:before="480" w:line="264" w:lineRule="auto"/>
        <w:rPr/>
      </w:pPr>
      <w:r w:rsidDel="00000000" w:rsidR="00000000" w:rsidRPr="00000000">
        <w:rPr>
          <w:rtl w:val="0"/>
        </w:rPr>
        <w:t xml:space="preserve">Invitation to apply</w:t>
      </w:r>
    </w:p>
    <w:p w:rsidR="00000000" w:rsidDel="00000000" w:rsidP="00000000" w:rsidRDefault="00000000" w:rsidRPr="00000000" w14:paraId="0000006E">
      <w:pPr>
        <w:numPr>
          <w:ilvl w:val="0"/>
          <w:numId w:val="12"/>
        </w:numPr>
        <w:spacing w:after="0" w:afterAutospacing="0" w:lineRule="auto"/>
        <w:ind w:left="720" w:hanging="360"/>
      </w:pPr>
      <w:r w:rsidDel="00000000" w:rsidR="00000000" w:rsidRPr="00000000">
        <w:rPr>
          <w:color w:val="333333"/>
          <w:sz w:val="30"/>
          <w:szCs w:val="30"/>
          <w:highlight w:val="white"/>
          <w:rtl w:val="0"/>
        </w:rPr>
        <w:t xml:space="preserve">EOIs with the strongest merit and alignment with program objectives, priority areas and significant economic benefit, will be invited to complete a full application and undergo detailed assessment.</w:t>
      </w:r>
    </w:p>
    <w:p w:rsidR="00000000" w:rsidDel="00000000" w:rsidP="00000000" w:rsidRDefault="00000000" w:rsidRPr="00000000" w14:paraId="0000006F">
      <w:pPr>
        <w:numPr>
          <w:ilvl w:val="0"/>
          <w:numId w:val="12"/>
        </w:numPr>
        <w:spacing w:after="180" w:lineRule="auto"/>
        <w:ind w:left="720" w:hanging="360"/>
      </w:pPr>
      <w:r w:rsidDel="00000000" w:rsidR="00000000" w:rsidRPr="00000000">
        <w:rPr>
          <w:color w:val="333333"/>
          <w:sz w:val="30"/>
          <w:szCs w:val="30"/>
          <w:highlight w:val="white"/>
          <w:rtl w:val="0"/>
        </w:rPr>
        <w:t xml:space="preserve">Only businesses that are invited to apply will be contacted within 30 calendar days of the close of the EOI intake.</w:t>
      </w:r>
    </w:p>
    <w:p w:rsidR="00000000" w:rsidDel="00000000" w:rsidP="00000000" w:rsidRDefault="00000000" w:rsidRPr="00000000" w14:paraId="00000070">
      <w:pPr>
        <w:keepNext w:val="0"/>
        <w:keepLines w:val="0"/>
        <w:spacing w:after="180" w:before="480" w:line="264" w:lineRule="auto"/>
        <w:rPr/>
      </w:pPr>
      <w:r w:rsidDel="00000000" w:rsidR="00000000" w:rsidRPr="00000000">
        <w:rPr>
          <w:rtl w:val="0"/>
        </w:rPr>
        <w:t xml:space="preserve">Funding decisions</w:t>
      </w:r>
    </w:p>
    <w:p w:rsidR="00000000" w:rsidDel="00000000" w:rsidP="00000000" w:rsidRDefault="00000000" w:rsidRPr="00000000" w14:paraId="00000071">
      <w:pPr>
        <w:numPr>
          <w:ilvl w:val="0"/>
          <w:numId w:val="15"/>
        </w:numPr>
        <w:spacing w:after="0" w:afterAutospacing="0" w:lineRule="auto"/>
        <w:ind w:left="720" w:hanging="360"/>
      </w:pPr>
      <w:r w:rsidDel="00000000" w:rsidR="00000000" w:rsidRPr="00000000">
        <w:rPr>
          <w:color w:val="333333"/>
          <w:sz w:val="30"/>
          <w:szCs w:val="30"/>
          <w:highlight w:val="white"/>
          <w:rtl w:val="0"/>
        </w:rPr>
        <w:t xml:space="preserve">within approximately 90 business days of receiving a complete funding application</w:t>
      </w:r>
    </w:p>
    <w:p w:rsidR="00000000" w:rsidDel="00000000" w:rsidP="00000000" w:rsidRDefault="00000000" w:rsidRPr="00000000" w14:paraId="00000072">
      <w:pPr>
        <w:numPr>
          <w:ilvl w:val="0"/>
          <w:numId w:val="15"/>
        </w:numPr>
        <w:spacing w:after="180" w:lineRule="auto"/>
        <w:ind w:left="720" w:hanging="360"/>
      </w:pPr>
      <w:r w:rsidDel="00000000" w:rsidR="00000000" w:rsidRPr="00000000">
        <w:rPr>
          <w:color w:val="333333"/>
          <w:sz w:val="30"/>
          <w:szCs w:val="30"/>
          <w:highlight w:val="white"/>
          <w:rtl w:val="0"/>
        </w:rPr>
        <w:t xml:space="preserve">one successful BSP project per organization per calendar year</w:t>
      </w:r>
    </w:p>
    <w:p w:rsidR="00000000" w:rsidDel="00000000" w:rsidP="00000000" w:rsidRDefault="00000000" w:rsidRPr="00000000" w14:paraId="00000073">
      <w:pPr>
        <w:spacing w:after="180" w:lineRule="auto"/>
        <w:rPr>
          <w:color w:val="333333"/>
          <w:sz w:val="30"/>
          <w:szCs w:val="30"/>
          <w:highlight w:val="white"/>
        </w:rPr>
      </w:pPr>
      <w:r w:rsidDel="00000000" w:rsidR="00000000" w:rsidRPr="00000000">
        <w:rPr>
          <w:color w:val="333333"/>
          <w:sz w:val="30"/>
          <w:szCs w:val="30"/>
          <w:highlight w:val="white"/>
          <w:rtl w:val="0"/>
        </w:rPr>
        <w:t xml:space="preserve">Note: EOI application volumes and completeness may impact timelines.</w:t>
      </w:r>
    </w:p>
    <w:p w:rsidR="00000000" w:rsidDel="00000000" w:rsidP="00000000" w:rsidRDefault="00000000" w:rsidRPr="00000000" w14:paraId="00000074">
      <w:pPr>
        <w:keepNext w:val="0"/>
        <w:keepLines w:val="0"/>
        <w:spacing w:after="180" w:before="580" w:line="264" w:lineRule="auto"/>
        <w:rPr/>
      </w:pPr>
      <w:r w:rsidDel="00000000" w:rsidR="00000000" w:rsidRPr="00000000">
        <w:rPr>
          <w:rtl w:val="0"/>
        </w:rPr>
        <w:t xml:space="preserve">Assessment process</w:t>
      </w:r>
    </w:p>
    <w:p w:rsidR="00000000" w:rsidDel="00000000" w:rsidP="00000000" w:rsidRDefault="00000000" w:rsidRPr="00000000" w14:paraId="00000075">
      <w:pPr>
        <w:spacing w:after="180" w:lineRule="auto"/>
        <w:rPr>
          <w:color w:val="333333"/>
          <w:sz w:val="30"/>
          <w:szCs w:val="30"/>
          <w:highlight w:val="white"/>
        </w:rPr>
      </w:pPr>
      <w:r w:rsidDel="00000000" w:rsidR="00000000" w:rsidRPr="00000000">
        <w:rPr>
          <w:color w:val="333333"/>
          <w:sz w:val="30"/>
          <w:szCs w:val="30"/>
          <w:highlight w:val="white"/>
          <w:rtl w:val="0"/>
        </w:rPr>
        <w:t xml:space="preserve">Applications will be evaluated on their ability to achieve the BSP objectives and on their relative strengths in the following areas:</w:t>
      </w:r>
    </w:p>
    <w:p w:rsidR="00000000" w:rsidDel="00000000" w:rsidP="00000000" w:rsidRDefault="00000000" w:rsidRPr="00000000" w14:paraId="00000076">
      <w:pPr>
        <w:numPr>
          <w:ilvl w:val="0"/>
          <w:numId w:val="16"/>
        </w:numPr>
        <w:spacing w:after="0" w:afterAutospacing="0" w:lineRule="auto"/>
        <w:ind w:left="720" w:hanging="360"/>
      </w:pPr>
      <w:r w:rsidDel="00000000" w:rsidR="00000000" w:rsidRPr="00000000">
        <w:rPr>
          <w:color w:val="333333"/>
          <w:sz w:val="30"/>
          <w:szCs w:val="30"/>
          <w:highlight w:val="white"/>
          <w:rtl w:val="0"/>
        </w:rPr>
        <w:t xml:space="preserve">market potential</w:t>
      </w:r>
    </w:p>
    <w:p w:rsidR="00000000" w:rsidDel="00000000" w:rsidP="00000000" w:rsidRDefault="00000000" w:rsidRPr="00000000" w14:paraId="00000077">
      <w:pPr>
        <w:numPr>
          <w:ilvl w:val="0"/>
          <w:numId w:val="16"/>
        </w:numPr>
        <w:spacing w:after="0" w:afterAutospacing="0" w:lineRule="auto"/>
        <w:ind w:left="720" w:hanging="360"/>
      </w:pPr>
      <w:r w:rsidDel="00000000" w:rsidR="00000000" w:rsidRPr="00000000">
        <w:rPr>
          <w:color w:val="333333"/>
          <w:sz w:val="30"/>
          <w:szCs w:val="30"/>
          <w:highlight w:val="white"/>
          <w:rtl w:val="0"/>
        </w:rPr>
        <w:t xml:space="preserve">management capability</w:t>
      </w:r>
    </w:p>
    <w:p w:rsidR="00000000" w:rsidDel="00000000" w:rsidP="00000000" w:rsidRDefault="00000000" w:rsidRPr="00000000" w14:paraId="00000078">
      <w:pPr>
        <w:numPr>
          <w:ilvl w:val="0"/>
          <w:numId w:val="16"/>
        </w:numPr>
        <w:spacing w:after="0" w:afterAutospacing="0" w:lineRule="auto"/>
        <w:ind w:left="720" w:hanging="360"/>
      </w:pPr>
      <w:r w:rsidDel="00000000" w:rsidR="00000000" w:rsidRPr="00000000">
        <w:rPr>
          <w:color w:val="333333"/>
          <w:sz w:val="30"/>
          <w:szCs w:val="30"/>
          <w:highlight w:val="white"/>
          <w:rtl w:val="0"/>
        </w:rPr>
        <w:t xml:space="preserve">financial capacity</w:t>
      </w:r>
    </w:p>
    <w:p w:rsidR="00000000" w:rsidDel="00000000" w:rsidP="00000000" w:rsidRDefault="00000000" w:rsidRPr="00000000" w14:paraId="00000079">
      <w:pPr>
        <w:numPr>
          <w:ilvl w:val="0"/>
          <w:numId w:val="16"/>
        </w:numPr>
        <w:spacing w:after="0" w:afterAutospacing="0" w:lineRule="auto"/>
        <w:ind w:left="720" w:hanging="360"/>
      </w:pPr>
      <w:r w:rsidDel="00000000" w:rsidR="00000000" w:rsidRPr="00000000">
        <w:rPr>
          <w:color w:val="333333"/>
          <w:sz w:val="30"/>
          <w:szCs w:val="30"/>
          <w:highlight w:val="white"/>
          <w:rtl w:val="0"/>
        </w:rPr>
        <w:t xml:space="preserve">economic benefits</w:t>
      </w:r>
    </w:p>
    <w:p w:rsidR="00000000" w:rsidDel="00000000" w:rsidP="00000000" w:rsidRDefault="00000000" w:rsidRPr="00000000" w14:paraId="0000007A">
      <w:pPr>
        <w:numPr>
          <w:ilvl w:val="0"/>
          <w:numId w:val="16"/>
        </w:numPr>
        <w:spacing w:after="0" w:afterAutospacing="0" w:lineRule="auto"/>
        <w:ind w:left="720" w:hanging="360"/>
      </w:pPr>
      <w:r w:rsidDel="00000000" w:rsidR="00000000" w:rsidRPr="00000000">
        <w:rPr>
          <w:color w:val="333333"/>
          <w:sz w:val="30"/>
          <w:szCs w:val="30"/>
          <w:highlight w:val="white"/>
          <w:rtl w:val="0"/>
        </w:rPr>
        <w:t xml:space="preserve">technology readiness (technology commercialization projects only)</w:t>
      </w:r>
    </w:p>
    <w:p w:rsidR="00000000" w:rsidDel="00000000" w:rsidP="00000000" w:rsidRDefault="00000000" w:rsidRPr="00000000" w14:paraId="0000007B">
      <w:pPr>
        <w:numPr>
          <w:ilvl w:val="0"/>
          <w:numId w:val="16"/>
        </w:numPr>
        <w:spacing w:after="0" w:afterAutospacing="0" w:lineRule="auto"/>
        <w:ind w:left="720" w:hanging="360"/>
      </w:pPr>
      <w:r w:rsidDel="00000000" w:rsidR="00000000" w:rsidRPr="00000000">
        <w:rPr>
          <w:color w:val="333333"/>
          <w:sz w:val="30"/>
          <w:szCs w:val="30"/>
          <w:highlight w:val="white"/>
          <w:rtl w:val="0"/>
        </w:rPr>
        <w:t xml:space="preserve">departmental/regional priorities</w:t>
      </w:r>
    </w:p>
    <w:p w:rsidR="00000000" w:rsidDel="00000000" w:rsidP="00000000" w:rsidRDefault="00000000" w:rsidRPr="00000000" w14:paraId="0000007C">
      <w:pPr>
        <w:numPr>
          <w:ilvl w:val="0"/>
          <w:numId w:val="16"/>
        </w:numPr>
        <w:spacing w:after="0" w:afterAutospacing="0" w:lineRule="auto"/>
        <w:ind w:left="720" w:hanging="360"/>
      </w:pPr>
      <w:r w:rsidDel="00000000" w:rsidR="00000000" w:rsidRPr="00000000">
        <w:rPr>
          <w:color w:val="333333"/>
          <w:sz w:val="30"/>
          <w:szCs w:val="30"/>
          <w:highlight w:val="white"/>
          <w:rtl w:val="0"/>
        </w:rPr>
        <w:t xml:space="preserve">If undergoing a detailed assessment, WD will request:</w:t>
      </w:r>
    </w:p>
    <w:p w:rsidR="00000000" w:rsidDel="00000000" w:rsidP="00000000" w:rsidRDefault="00000000" w:rsidRPr="00000000" w14:paraId="0000007D">
      <w:pPr>
        <w:numPr>
          <w:ilvl w:val="1"/>
          <w:numId w:val="16"/>
        </w:numPr>
        <w:spacing w:after="0" w:afterAutospacing="0" w:lineRule="auto"/>
        <w:ind w:left="1440" w:hanging="360"/>
      </w:pPr>
      <w:r w:rsidDel="00000000" w:rsidR="00000000" w:rsidRPr="00000000">
        <w:rPr>
          <w:color w:val="333333"/>
          <w:sz w:val="30"/>
          <w:szCs w:val="30"/>
          <w:highlight w:val="white"/>
          <w:rtl w:val="0"/>
        </w:rPr>
        <w:t xml:space="preserve">business plan (if not already submitted)</w:t>
      </w:r>
    </w:p>
    <w:p w:rsidR="00000000" w:rsidDel="00000000" w:rsidP="00000000" w:rsidRDefault="00000000" w:rsidRPr="00000000" w14:paraId="0000007E">
      <w:pPr>
        <w:numPr>
          <w:ilvl w:val="1"/>
          <w:numId w:val="16"/>
        </w:numPr>
        <w:spacing w:after="0" w:afterAutospacing="0" w:lineRule="auto"/>
        <w:ind w:left="1440" w:hanging="360"/>
      </w:pPr>
      <w:r w:rsidDel="00000000" w:rsidR="00000000" w:rsidRPr="00000000">
        <w:rPr>
          <w:color w:val="333333"/>
          <w:sz w:val="30"/>
          <w:szCs w:val="30"/>
          <w:highlight w:val="white"/>
          <w:rtl w:val="0"/>
        </w:rPr>
        <w:t xml:space="preserve">forecasted income statements and cashflow for the duration of the project</w:t>
      </w:r>
    </w:p>
    <w:p w:rsidR="00000000" w:rsidDel="00000000" w:rsidP="00000000" w:rsidRDefault="00000000" w:rsidRPr="00000000" w14:paraId="0000007F">
      <w:pPr>
        <w:numPr>
          <w:ilvl w:val="1"/>
          <w:numId w:val="16"/>
        </w:numPr>
        <w:spacing w:after="0" w:afterAutospacing="0" w:lineRule="auto"/>
        <w:ind w:left="1440" w:hanging="360"/>
      </w:pPr>
      <w:r w:rsidDel="00000000" w:rsidR="00000000" w:rsidRPr="00000000">
        <w:rPr>
          <w:color w:val="333333"/>
          <w:sz w:val="30"/>
          <w:szCs w:val="30"/>
          <w:highlight w:val="white"/>
          <w:rtl w:val="0"/>
        </w:rPr>
        <w:t xml:space="preserve">detailed breakdown of project costs</w:t>
      </w:r>
    </w:p>
    <w:p w:rsidR="00000000" w:rsidDel="00000000" w:rsidP="00000000" w:rsidRDefault="00000000" w:rsidRPr="00000000" w14:paraId="00000080">
      <w:pPr>
        <w:numPr>
          <w:ilvl w:val="1"/>
          <w:numId w:val="16"/>
        </w:numPr>
        <w:spacing w:after="180" w:lineRule="auto"/>
        <w:ind w:left="1440" w:hanging="360"/>
      </w:pPr>
      <w:r w:rsidDel="00000000" w:rsidR="00000000" w:rsidRPr="00000000">
        <w:rPr>
          <w:color w:val="333333"/>
          <w:sz w:val="30"/>
          <w:szCs w:val="30"/>
          <w:highlight w:val="white"/>
          <w:rtl w:val="0"/>
        </w:rPr>
        <w:t xml:space="preserve">disclosure of pre-existing disbursements to 3rd parties or senior executives</w:t>
      </w:r>
    </w:p>
    <w:p w:rsidR="00000000" w:rsidDel="00000000" w:rsidP="00000000" w:rsidRDefault="00000000" w:rsidRPr="00000000" w14:paraId="00000081">
      <w:pPr>
        <w:spacing w:after="180" w:lineRule="auto"/>
        <w:rPr>
          <w:color w:val="333333"/>
          <w:sz w:val="30"/>
          <w:szCs w:val="30"/>
          <w:highlight w:val="white"/>
        </w:rPr>
      </w:pPr>
      <w:r w:rsidDel="00000000" w:rsidR="00000000" w:rsidRPr="00000000">
        <w:rPr>
          <w:color w:val="333333"/>
          <w:sz w:val="30"/>
          <w:szCs w:val="30"/>
          <w:highlight w:val="white"/>
          <w:rtl w:val="0"/>
        </w:rPr>
        <w:t xml:space="preserve">Although WD may engage companies directly on outstanding questions or issues, applicants are advised to submit a complete and thorough application.</w:t>
      </w:r>
    </w:p>
    <w:p w:rsidR="00000000" w:rsidDel="00000000" w:rsidP="00000000" w:rsidRDefault="00000000" w:rsidRPr="00000000" w14:paraId="00000082">
      <w:pPr>
        <w:spacing w:after="180" w:lineRule="auto"/>
        <w:rPr>
          <w:color w:val="333333"/>
          <w:sz w:val="30"/>
          <w:szCs w:val="30"/>
          <w:highlight w:val="white"/>
        </w:rPr>
      </w:pPr>
      <w:r w:rsidDel="00000000" w:rsidR="00000000" w:rsidRPr="00000000">
        <w:rPr>
          <w:color w:val="333333"/>
          <w:sz w:val="30"/>
          <w:szCs w:val="30"/>
          <w:highlight w:val="white"/>
          <w:rtl w:val="0"/>
        </w:rPr>
        <w:t xml:space="preserve">Not all applications undergoing a detailed assessment will receive an offer of funding.</w:t>
      </w:r>
    </w:p>
    <w:p w:rsidR="00000000" w:rsidDel="00000000" w:rsidP="00000000" w:rsidRDefault="00000000" w:rsidRPr="00000000" w14:paraId="00000083">
      <w:pPr>
        <w:spacing w:after="180" w:lineRule="auto"/>
        <w:rPr>
          <w:color w:val="333333"/>
          <w:sz w:val="30"/>
          <w:szCs w:val="30"/>
          <w:highlight w:val="white"/>
        </w:rPr>
      </w:pPr>
      <w:r w:rsidDel="00000000" w:rsidR="00000000" w:rsidRPr="00000000">
        <w:rPr>
          <w:color w:val="333333"/>
          <w:sz w:val="30"/>
          <w:szCs w:val="30"/>
          <w:highlight w:val="white"/>
          <w:rtl w:val="0"/>
        </w:rPr>
        <w:t xml:space="preserve">A technical assessment may be conducted by National Research Council’s Industrial Research Assistance Program (NRC-IRAP) for projects using novel technology.</w:t>
      </w:r>
    </w:p>
    <w:p w:rsidR="00000000" w:rsidDel="00000000" w:rsidP="00000000" w:rsidRDefault="00000000" w:rsidRPr="00000000" w14:paraId="00000084">
      <w:pPr>
        <w:spacing w:after="180" w:lineRule="auto"/>
        <w:rPr>
          <w:color w:val="333333"/>
          <w:sz w:val="30"/>
          <w:szCs w:val="30"/>
          <w:highlight w:val="white"/>
        </w:rPr>
      </w:pPr>
      <w:r w:rsidDel="00000000" w:rsidR="00000000" w:rsidRPr="00000000">
        <w:rPr>
          <w:color w:val="333333"/>
          <w:sz w:val="30"/>
          <w:szCs w:val="30"/>
          <w:highlight w:val="white"/>
          <w:rtl w:val="0"/>
        </w:rPr>
        <w:t xml:space="preserve">Sustainable Development Technologies Canada and Clean Growth Hub will be consulted on projects related to clean technology and clean resources.</w:t>
      </w:r>
    </w:p>
    <w:p w:rsidR="00000000" w:rsidDel="00000000" w:rsidP="00000000" w:rsidRDefault="00000000" w:rsidRPr="00000000" w14:paraId="00000085">
      <w:pPr>
        <w:keepNext w:val="0"/>
        <w:keepLines w:val="0"/>
        <w:spacing w:after="180" w:before="480" w:line="264" w:lineRule="auto"/>
        <w:rPr/>
      </w:pPr>
      <w:r w:rsidDel="00000000" w:rsidR="00000000" w:rsidRPr="00000000">
        <w:rPr>
          <w:rtl w:val="0"/>
        </w:rPr>
        <w:t xml:space="preserve">Elements of a strong project</w:t>
      </w:r>
    </w:p>
    <w:p w:rsidR="00000000" w:rsidDel="00000000" w:rsidP="00000000" w:rsidRDefault="00000000" w:rsidRPr="00000000" w14:paraId="00000086">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comprehensive and well-written business plan</w:t>
      </w:r>
    </w:p>
    <w:p w:rsidR="00000000" w:rsidDel="00000000" w:rsidP="00000000" w:rsidRDefault="00000000" w:rsidRPr="00000000" w14:paraId="00000087">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independent market assessment and/or evidence of unmet market demand</w:t>
      </w:r>
    </w:p>
    <w:p w:rsidR="00000000" w:rsidDel="00000000" w:rsidP="00000000" w:rsidRDefault="00000000" w:rsidRPr="00000000" w14:paraId="00000088">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clearly defined market size and opportunity</w:t>
      </w:r>
    </w:p>
    <w:p w:rsidR="00000000" w:rsidDel="00000000" w:rsidP="00000000" w:rsidRDefault="00000000" w:rsidRPr="00000000" w14:paraId="00000089">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direct competitors identified and assessed</w:t>
      </w:r>
    </w:p>
    <w:p w:rsidR="00000000" w:rsidDel="00000000" w:rsidP="00000000" w:rsidRDefault="00000000" w:rsidRPr="00000000" w14:paraId="0000008A">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detailed description of both the applicant organization and project management team</w:t>
      </w:r>
    </w:p>
    <w:p w:rsidR="00000000" w:rsidDel="00000000" w:rsidP="00000000" w:rsidRDefault="00000000" w:rsidRPr="00000000" w14:paraId="0000008B">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credible financial statements accompanied by logical and reasonable financial projections</w:t>
      </w:r>
    </w:p>
    <w:p w:rsidR="00000000" w:rsidDel="00000000" w:rsidP="00000000" w:rsidRDefault="00000000" w:rsidRPr="00000000" w14:paraId="0000008C">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demonstrated financial capacity to execute the project and the ability to repay</w:t>
      </w:r>
    </w:p>
    <w:p w:rsidR="00000000" w:rsidDel="00000000" w:rsidP="00000000" w:rsidRDefault="00000000" w:rsidRPr="00000000" w14:paraId="0000008D">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clear alignment with at least one priority area</w:t>
      </w:r>
    </w:p>
    <w:p w:rsidR="00000000" w:rsidDel="00000000" w:rsidP="00000000" w:rsidRDefault="00000000" w:rsidRPr="00000000" w14:paraId="0000008E">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significant economic benefits/outcomes supported by reasonable assumptions and rationale</w:t>
      </w:r>
    </w:p>
    <w:p w:rsidR="00000000" w:rsidDel="00000000" w:rsidP="00000000" w:rsidRDefault="00000000" w:rsidRPr="00000000" w14:paraId="0000008F">
      <w:pPr>
        <w:numPr>
          <w:ilvl w:val="0"/>
          <w:numId w:val="13"/>
        </w:numPr>
        <w:spacing w:after="0" w:afterAutospacing="0" w:lineRule="auto"/>
        <w:ind w:left="720" w:hanging="360"/>
      </w:pPr>
      <w:r w:rsidDel="00000000" w:rsidR="00000000" w:rsidRPr="00000000">
        <w:rPr>
          <w:color w:val="333333"/>
          <w:sz w:val="30"/>
          <w:szCs w:val="30"/>
          <w:highlight w:val="white"/>
          <w:rtl w:val="0"/>
        </w:rPr>
        <w:t xml:space="preserve">well-defined IP strategy (if applicable)</w:t>
      </w:r>
    </w:p>
    <w:p w:rsidR="00000000" w:rsidDel="00000000" w:rsidP="00000000" w:rsidRDefault="00000000" w:rsidRPr="00000000" w14:paraId="00000090">
      <w:pPr>
        <w:numPr>
          <w:ilvl w:val="0"/>
          <w:numId w:val="13"/>
        </w:numPr>
        <w:spacing w:after="180" w:lineRule="auto"/>
        <w:ind w:left="720" w:hanging="360"/>
      </w:pPr>
      <w:r w:rsidDel="00000000" w:rsidR="00000000" w:rsidRPr="00000000">
        <w:rPr>
          <w:color w:val="333333"/>
          <w:sz w:val="30"/>
          <w:szCs w:val="30"/>
          <w:highlight w:val="white"/>
          <w:rtl w:val="0"/>
        </w:rPr>
        <w:t xml:space="preserve">clear explanation as to how the productivity or efficiency savings will enable the company to grow and expand (if applicable)</w:t>
      </w:r>
    </w:p>
    <w:p w:rsidR="00000000" w:rsidDel="00000000" w:rsidP="00000000" w:rsidRDefault="00000000" w:rsidRPr="00000000" w14:paraId="00000091">
      <w:pPr>
        <w:keepNext w:val="0"/>
        <w:keepLines w:val="0"/>
        <w:spacing w:after="180" w:before="580" w:line="264" w:lineRule="auto"/>
        <w:rPr/>
      </w:pPr>
      <w:r w:rsidDel="00000000" w:rsidR="00000000" w:rsidRPr="00000000">
        <w:rPr>
          <w:rtl w:val="0"/>
        </w:rPr>
        <w:t xml:space="preserve">Funding disbursement</w:t>
      </w:r>
    </w:p>
    <w:p w:rsidR="00000000" w:rsidDel="00000000" w:rsidP="00000000" w:rsidRDefault="00000000" w:rsidRPr="00000000" w14:paraId="00000092">
      <w:pPr>
        <w:spacing w:after="180" w:lineRule="auto"/>
        <w:rPr>
          <w:color w:val="333333"/>
          <w:sz w:val="30"/>
          <w:szCs w:val="30"/>
          <w:highlight w:val="white"/>
        </w:rPr>
      </w:pPr>
      <w:r w:rsidDel="00000000" w:rsidR="00000000" w:rsidRPr="00000000">
        <w:rPr>
          <w:color w:val="333333"/>
          <w:sz w:val="30"/>
          <w:szCs w:val="30"/>
          <w:highlight w:val="white"/>
          <w:rtl w:val="0"/>
        </w:rPr>
        <w:t xml:space="preserve">WD provides funding based on submitted claims.</w:t>
      </w:r>
    </w:p>
    <w:p w:rsidR="00000000" w:rsidDel="00000000" w:rsidP="00000000" w:rsidRDefault="00000000" w:rsidRPr="00000000" w14:paraId="00000093">
      <w:pPr>
        <w:spacing w:after="180" w:lineRule="auto"/>
        <w:rPr>
          <w:color w:val="333333"/>
          <w:sz w:val="30"/>
          <w:szCs w:val="30"/>
          <w:highlight w:val="white"/>
        </w:rPr>
      </w:pPr>
      <w:r w:rsidDel="00000000" w:rsidR="00000000" w:rsidRPr="00000000">
        <w:rPr>
          <w:color w:val="333333"/>
          <w:sz w:val="30"/>
          <w:szCs w:val="30"/>
          <w:highlight w:val="white"/>
          <w:rtl w:val="0"/>
        </w:rPr>
        <w:t xml:space="preserve">WD will reimburse based on approved portion (i.e. 50%) of eligible project costs that have been incurred and paid.</w:t>
      </w:r>
    </w:p>
    <w:p w:rsidR="00000000" w:rsidDel="00000000" w:rsidP="00000000" w:rsidRDefault="00000000" w:rsidRPr="00000000" w14:paraId="00000094">
      <w:pPr>
        <w:keepNext w:val="0"/>
        <w:keepLines w:val="0"/>
        <w:spacing w:after="180" w:before="480" w:line="264" w:lineRule="auto"/>
        <w:rPr/>
      </w:pPr>
      <w:r w:rsidDel="00000000" w:rsidR="00000000" w:rsidRPr="00000000">
        <w:rPr>
          <w:rtl w:val="0"/>
        </w:rPr>
        <w:t xml:space="preserve">Other funding considerations</w:t>
      </w:r>
    </w:p>
    <w:p w:rsidR="00000000" w:rsidDel="00000000" w:rsidP="00000000" w:rsidRDefault="00000000" w:rsidRPr="00000000" w14:paraId="00000095">
      <w:pPr>
        <w:numPr>
          <w:ilvl w:val="0"/>
          <w:numId w:val="5"/>
        </w:numPr>
        <w:spacing w:after="0" w:afterAutospacing="0" w:lineRule="auto"/>
        <w:ind w:left="720" w:hanging="360"/>
      </w:pPr>
      <w:r w:rsidDel="00000000" w:rsidR="00000000" w:rsidRPr="00000000">
        <w:rPr>
          <w:color w:val="333333"/>
          <w:sz w:val="30"/>
          <w:szCs w:val="30"/>
          <w:highlight w:val="white"/>
          <w:rtl w:val="0"/>
        </w:rPr>
        <w:t xml:space="preserve">Consult your accountant and/or Canada Revenue Agency to determine the full implications of receiving BSP funding (e.g. taxable income, Scientific Research and Experimental Development Tax Incentive Program (SR&amp;ED) tax credits)</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SR&amp;ED credits or other similar federal or provincial tax credits expected to be received within the project scope/timeline for project activities will be considered to be other government assistance. This may require WD to reduce its funding to maintain the level of government assistance at 50%.</w:t>
      </w:r>
    </w:p>
    <w:p w:rsidR="00000000" w:rsidDel="00000000" w:rsidP="00000000" w:rsidRDefault="00000000" w:rsidRPr="00000000" w14:paraId="00000097">
      <w:pPr>
        <w:numPr>
          <w:ilvl w:val="0"/>
          <w:numId w:val="5"/>
        </w:numPr>
        <w:spacing w:after="180" w:lineRule="auto"/>
        <w:ind w:left="720" w:hanging="360"/>
      </w:pPr>
      <w:r w:rsidDel="00000000" w:rsidR="00000000" w:rsidRPr="00000000">
        <w:rPr>
          <w:color w:val="333333"/>
          <w:sz w:val="30"/>
          <w:szCs w:val="30"/>
          <w:highlight w:val="white"/>
          <w:rtl w:val="0"/>
        </w:rPr>
        <w:t xml:space="preserve">Where possible, exclude SR&amp;ED eligible costs from your application.</w:t>
      </w:r>
    </w:p>
    <w:p w:rsidR="00000000" w:rsidDel="00000000" w:rsidP="00000000" w:rsidRDefault="00000000" w:rsidRPr="00000000" w14:paraId="00000098">
      <w:pPr>
        <w:keepNext w:val="0"/>
        <w:keepLines w:val="0"/>
        <w:spacing w:after="180" w:before="580" w:line="264" w:lineRule="auto"/>
        <w:rPr/>
      </w:pPr>
      <w:r w:rsidDel="00000000" w:rsidR="00000000" w:rsidRPr="00000000">
        <w:rPr>
          <w:rtl w:val="0"/>
        </w:rPr>
        <w:t xml:space="preserve">Repayment terms</w:t>
      </w:r>
    </w:p>
    <w:p w:rsidR="00000000" w:rsidDel="00000000" w:rsidP="00000000" w:rsidRDefault="00000000" w:rsidRPr="00000000" w14:paraId="00000099">
      <w:pPr>
        <w:numPr>
          <w:ilvl w:val="0"/>
          <w:numId w:val="11"/>
        </w:numPr>
        <w:spacing w:after="0" w:afterAutospacing="0" w:lineRule="auto"/>
        <w:ind w:left="720" w:hanging="360"/>
      </w:pPr>
      <w:r w:rsidDel="00000000" w:rsidR="00000000" w:rsidRPr="00000000">
        <w:rPr>
          <w:color w:val="333333"/>
          <w:sz w:val="30"/>
          <w:szCs w:val="30"/>
          <w:highlight w:val="white"/>
          <w:rtl w:val="0"/>
        </w:rPr>
        <w:t xml:space="preserve">After project completion, there is a 1 year grace period, followed by equal monthly payments over 5 years.</w:t>
      </w:r>
    </w:p>
    <w:p w:rsidR="00000000" w:rsidDel="00000000" w:rsidP="00000000" w:rsidRDefault="00000000" w:rsidRPr="00000000" w14:paraId="0000009A">
      <w:pPr>
        <w:numPr>
          <w:ilvl w:val="0"/>
          <w:numId w:val="11"/>
        </w:numPr>
        <w:spacing w:after="0" w:afterAutospacing="0" w:lineRule="auto"/>
        <w:ind w:left="720" w:hanging="360"/>
      </w:pPr>
      <w:r w:rsidDel="00000000" w:rsidR="00000000" w:rsidRPr="00000000">
        <w:rPr>
          <w:color w:val="333333"/>
          <w:sz w:val="30"/>
          <w:szCs w:val="30"/>
          <w:highlight w:val="white"/>
          <w:rtl w:val="0"/>
        </w:rPr>
        <w:t xml:space="preserve">Interest free; no security/collateral will be taken.</w:t>
      </w:r>
    </w:p>
    <w:p w:rsidR="00000000" w:rsidDel="00000000" w:rsidP="00000000" w:rsidRDefault="00000000" w:rsidRPr="00000000" w14:paraId="0000009B">
      <w:pPr>
        <w:numPr>
          <w:ilvl w:val="0"/>
          <w:numId w:val="11"/>
        </w:numPr>
        <w:spacing w:after="180" w:lineRule="auto"/>
        <w:ind w:left="720" w:hanging="360"/>
      </w:pPr>
      <w:r w:rsidDel="00000000" w:rsidR="00000000" w:rsidRPr="00000000">
        <w:rPr>
          <w:color w:val="333333"/>
          <w:sz w:val="30"/>
          <w:szCs w:val="30"/>
          <w:highlight w:val="white"/>
          <w:rtl w:val="0"/>
        </w:rPr>
        <w:t xml:space="preserve">There is no penalty for early repayment.</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1708f"/>
        <w:sz w:val="30"/>
        <w:szCs w:val="30"/>
        <w:u w:val="none"/>
        <w:shd w:fill="d9edf7" w:val="clear"/>
      </w:rPr>
    </w:lvl>
    <w:lvl w:ilvl="1">
      <w:start w:val="1"/>
      <w:numFmt w:val="bullet"/>
      <w:lvlText w:val="○"/>
      <w:lvlJc w:val="left"/>
      <w:pPr>
        <w:ind w:left="1440" w:hanging="360"/>
      </w:pPr>
      <w:rPr>
        <w:rFonts w:ascii="Arial" w:cs="Arial" w:eastAsia="Arial" w:hAnsi="Arial"/>
        <w:color w:val="31708f"/>
        <w:sz w:val="30"/>
        <w:szCs w:val="30"/>
        <w:u w:val="none"/>
        <w:shd w:fill="d9edf7"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rFonts w:ascii="Arial" w:cs="Arial" w:eastAsia="Arial" w:hAnsi="Arial"/>
        <w:color w:val="333333"/>
        <w:sz w:val="30"/>
        <w:szCs w:val="30"/>
        <w:highlight w:val="white"/>
        <w:u w:val="none"/>
      </w:rPr>
    </w:lvl>
    <w:lvl w:ilvl="2">
      <w:start w:val="1"/>
      <w:numFmt w:val="bullet"/>
      <w:lvlText w:val="■"/>
      <w:lvlJc w:val="left"/>
      <w:pPr>
        <w:ind w:left="2160" w:hanging="360"/>
      </w:pPr>
      <w:rPr>
        <w:rFonts w:ascii="Arial" w:cs="Arial" w:eastAsia="Arial" w:hAnsi="Arial"/>
        <w:color w:val="333333"/>
        <w:sz w:val="30"/>
        <w:szCs w:val="30"/>
        <w:highlight w:val="white"/>
        <w:u w:val="none"/>
      </w:rPr>
    </w:lvl>
    <w:lvl w:ilvl="3">
      <w:start w:val="1"/>
      <w:numFmt w:val="bullet"/>
      <w:lvlText w:val="■"/>
      <w:lvlJc w:val="left"/>
      <w:pPr>
        <w:ind w:left="2880" w:hanging="360"/>
      </w:pPr>
      <w:rPr>
        <w:rFonts w:ascii="Arial" w:cs="Arial" w:eastAsia="Arial" w:hAnsi="Arial"/>
        <w:color w:val="333333"/>
        <w:sz w:val="30"/>
        <w:szCs w:val="30"/>
        <w:highlight w:val="white"/>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rFonts w:ascii="Arial" w:cs="Arial" w:eastAsia="Arial" w:hAnsi="Arial"/>
        <w:color w:val="333333"/>
        <w:sz w:val="30"/>
        <w:szCs w:val="3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rFonts w:ascii="Arial" w:cs="Arial" w:eastAsia="Arial" w:hAnsi="Arial"/>
        <w:color w:val="333333"/>
        <w:sz w:val="30"/>
        <w:szCs w:val="3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30"/>
        <w:szCs w:val="30"/>
        <w:highlight w:val="white"/>
        <w:u w:val="none"/>
      </w:rPr>
    </w:lvl>
    <w:lvl w:ilvl="1">
      <w:start w:val="1"/>
      <w:numFmt w:val="bullet"/>
      <w:lvlText w:val="○"/>
      <w:lvlJc w:val="left"/>
      <w:pPr>
        <w:ind w:left="1440" w:hanging="360"/>
      </w:pPr>
      <w:rPr>
        <w:rFonts w:ascii="Arial" w:cs="Arial" w:eastAsia="Arial" w:hAnsi="Arial"/>
        <w:color w:val="333333"/>
        <w:sz w:val="30"/>
        <w:szCs w:val="30"/>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d-deo.gc.ca/eng/19762.asp#contacts" TargetMode="External"/><Relationship Id="rId11" Type="http://schemas.openxmlformats.org/officeDocument/2006/relationships/hyperlink" Target="https://www.wd-deo.gc.ca/eng/19762.asp#eligcosts" TargetMode="External"/><Relationship Id="rId22" Type="http://schemas.openxmlformats.org/officeDocument/2006/relationships/hyperlink" Target="https://www.ic.gc.ca/eic/site/080.nsf/eng/00002.html" TargetMode="External"/><Relationship Id="rId10" Type="http://schemas.openxmlformats.org/officeDocument/2006/relationships/hyperlink" Target="https://www.wd-deo.gc.ca/eng/19762.asp#elig" TargetMode="External"/><Relationship Id="rId21" Type="http://schemas.openxmlformats.org/officeDocument/2006/relationships/hyperlink" Target="https://www.ic.gc.ca/eic/site/080.nsf/eng/00002.html" TargetMode="External"/><Relationship Id="rId13" Type="http://schemas.openxmlformats.org/officeDocument/2006/relationships/hyperlink" Target="https://www.wd-deo.gc.ca/eng/19762.asp#results" TargetMode="External"/><Relationship Id="rId24" Type="http://schemas.openxmlformats.org/officeDocument/2006/relationships/hyperlink" Target="https://www.wd-deo.gc.ca/eng/20155.asp" TargetMode="External"/><Relationship Id="rId12" Type="http://schemas.openxmlformats.org/officeDocument/2006/relationships/hyperlink" Target="https://www.wd-deo.gc.ca/eng/19762.asp#ineligcosts" TargetMode="External"/><Relationship Id="rId23" Type="http://schemas.openxmlformats.org/officeDocument/2006/relationships/hyperlink" Target="https://www.ic.gc.ca/eic/site/062.nsf/eng/h_0000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c.gc.ca/eic/site/080.nsf/eng/home" TargetMode="External"/><Relationship Id="rId15" Type="http://schemas.openxmlformats.org/officeDocument/2006/relationships/hyperlink" Target="https://www.wd-deo.gc.ca/eng/19762.asp#how" TargetMode="External"/><Relationship Id="rId14" Type="http://schemas.openxmlformats.org/officeDocument/2006/relationships/hyperlink" Target="https://www.wd-deo.gc.ca/eng/19762.asp#when" TargetMode="External"/><Relationship Id="rId17" Type="http://schemas.openxmlformats.org/officeDocument/2006/relationships/hyperlink" Target="https://www.wd-deo.gc.ca/eng/19762.asp#process" TargetMode="External"/><Relationship Id="rId16" Type="http://schemas.openxmlformats.org/officeDocument/2006/relationships/hyperlink" Target="https://www.wd-deo.gc.ca/eng/19762.asp#after" TargetMode="External"/><Relationship Id="rId5" Type="http://schemas.openxmlformats.org/officeDocument/2006/relationships/styles" Target="styles.xml"/><Relationship Id="rId19" Type="http://schemas.openxmlformats.org/officeDocument/2006/relationships/hyperlink" Target="https://www.wd-deo.gc.ca/eng/19762.asp#repayment" TargetMode="External"/><Relationship Id="rId6" Type="http://schemas.openxmlformats.org/officeDocument/2006/relationships/hyperlink" Target="https://www.wd-deo.gc.ca/eng/19762.asp" TargetMode="External"/><Relationship Id="rId18" Type="http://schemas.openxmlformats.org/officeDocument/2006/relationships/hyperlink" Target="https://www.wd-deo.gc.ca/eng/19762.asp#disbursement" TargetMode="External"/><Relationship Id="rId7" Type="http://schemas.openxmlformats.org/officeDocument/2006/relationships/hyperlink" Target="https://www.canada.ca/en/prairies-economic-development/services/funding/business-scale-up-productivity.html" TargetMode="External"/><Relationship Id="rId8" Type="http://schemas.openxmlformats.org/officeDocument/2006/relationships/hyperlink" Target="https://www.canada.ca/en/pacific-economic-development/services/funding/business-scale-up-produ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