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E3384" w14:textId="6C8BEF77" w:rsidR="00581E5C" w:rsidRPr="009D2913" w:rsidRDefault="009D2913" w:rsidP="009D2913">
      <w:pPr>
        <w:jc w:val="center"/>
        <w:rPr>
          <w:b/>
          <w:bCs/>
          <w:sz w:val="32"/>
          <w:szCs w:val="32"/>
        </w:rPr>
      </w:pPr>
      <w:r w:rsidRPr="009D2913">
        <w:rPr>
          <w:b/>
          <w:bCs/>
          <w:sz w:val="32"/>
          <w:szCs w:val="32"/>
        </w:rPr>
        <w:t>Analysis of Crowdfunding Campaign Outcomes</w:t>
      </w:r>
    </w:p>
    <w:p w14:paraId="4F6EA596" w14:textId="62D340FC" w:rsidR="009D2913" w:rsidRDefault="009D2913" w:rsidP="009D2913">
      <w:pPr>
        <w:jc w:val="center"/>
      </w:pPr>
    </w:p>
    <w:p w14:paraId="5D70E70D" w14:textId="54E35FDD" w:rsidR="009D2913" w:rsidRPr="00F9563E" w:rsidRDefault="009D2913" w:rsidP="009D2913">
      <w:pPr>
        <w:jc w:val="center"/>
        <w:rPr>
          <w:b/>
          <w:bCs/>
        </w:rPr>
      </w:pPr>
      <w:r w:rsidRPr="00F9563E">
        <w:rPr>
          <w:b/>
          <w:bCs/>
        </w:rPr>
        <w:t>Craig Gallagher</w:t>
      </w:r>
    </w:p>
    <w:p w14:paraId="31E18BAF" w14:textId="34B88FB8" w:rsidR="009D2913" w:rsidRPr="00F9563E" w:rsidRDefault="009D2913" w:rsidP="009D2913">
      <w:pPr>
        <w:jc w:val="center"/>
        <w:rPr>
          <w:b/>
          <w:bCs/>
        </w:rPr>
      </w:pPr>
    </w:p>
    <w:p w14:paraId="276E42D6" w14:textId="7D3A0C4E" w:rsidR="009D2913" w:rsidRPr="00F9563E" w:rsidRDefault="009D2913" w:rsidP="009D2913">
      <w:pPr>
        <w:jc w:val="center"/>
        <w:rPr>
          <w:b/>
          <w:bCs/>
        </w:rPr>
      </w:pPr>
      <w:r w:rsidRPr="00F9563E">
        <w:rPr>
          <w:b/>
          <w:bCs/>
        </w:rPr>
        <w:t>Data Analytics Bootcamp Module 1 Challenge</w:t>
      </w:r>
    </w:p>
    <w:p w14:paraId="36F70F76" w14:textId="0C9FACCD" w:rsidR="009D2913" w:rsidRPr="00F9563E" w:rsidRDefault="009D2913" w:rsidP="009D2913">
      <w:pPr>
        <w:jc w:val="center"/>
        <w:rPr>
          <w:b/>
          <w:bCs/>
        </w:rPr>
      </w:pPr>
      <w:r w:rsidRPr="00F9563E">
        <w:rPr>
          <w:b/>
          <w:bCs/>
        </w:rPr>
        <w:t>March 17</w:t>
      </w:r>
      <w:r w:rsidRPr="00F9563E">
        <w:rPr>
          <w:b/>
          <w:bCs/>
          <w:vertAlign w:val="superscript"/>
        </w:rPr>
        <w:t>th</w:t>
      </w:r>
      <w:r w:rsidRPr="00F9563E">
        <w:rPr>
          <w:b/>
          <w:bCs/>
        </w:rPr>
        <w:t>, 2023</w:t>
      </w:r>
    </w:p>
    <w:p w14:paraId="64B4DC68" w14:textId="09787ADE" w:rsidR="009D2913" w:rsidRDefault="009D2913"/>
    <w:p w14:paraId="6E0E5E81" w14:textId="18B2E96B" w:rsidR="009D2913" w:rsidRDefault="009D2913">
      <w:r w:rsidRPr="009D2913">
        <w:rPr>
          <w:b/>
          <w:bCs/>
        </w:rPr>
        <w:t>ABSTRACT:</w:t>
      </w:r>
      <w:r w:rsidRPr="009D2913">
        <w:rPr>
          <w:b/>
          <w:bCs/>
        </w:rPr>
        <w:br/>
      </w:r>
      <w:r>
        <w:t>Crowdfunding outcomes are considered based on Category types and the time of year they’re started, looking at whether the campaign was ultimately funded at or above its goal.</w:t>
      </w:r>
    </w:p>
    <w:p w14:paraId="22B1670B" w14:textId="0ACADB2E" w:rsidR="009D2913" w:rsidRDefault="009D2913"/>
    <w:p w14:paraId="68E0990A" w14:textId="77777777" w:rsidR="00F9563E" w:rsidRDefault="009D2913">
      <w:r>
        <w:t xml:space="preserve">Crowdfunding campaigns are first broken down by Category and Sub-Category, in </w:t>
      </w:r>
      <w:r w:rsidRPr="00C75744">
        <w:rPr>
          <w:b/>
          <w:bCs/>
        </w:rPr>
        <w:t>Figures 1</w:t>
      </w:r>
      <w:r>
        <w:t xml:space="preserve"> and </w:t>
      </w:r>
      <w:r w:rsidRPr="00C75744">
        <w:rPr>
          <w:b/>
          <w:bCs/>
        </w:rPr>
        <w:t>2</w:t>
      </w:r>
      <w:r>
        <w:t>, respectively.</w:t>
      </w:r>
      <w:r>
        <w:br/>
      </w:r>
    </w:p>
    <w:p w14:paraId="23472072" w14:textId="3DCDC537" w:rsidR="009D2913" w:rsidRDefault="00F9563E">
      <w:r>
        <w:rPr>
          <w:noProof/>
        </w:rPr>
        <w:drawing>
          <wp:inline distT="0" distB="0" distL="0" distR="0" wp14:anchorId="2674BD9E" wp14:editId="12A3F2C0">
            <wp:extent cx="5943600" cy="2506980"/>
            <wp:effectExtent l="0" t="0" r="0" b="7620"/>
            <wp:docPr id="1" name="Chart 1">
              <a:extLst xmlns:a="http://schemas.openxmlformats.org/drawingml/2006/main">
                <a:ext uri="{FF2B5EF4-FFF2-40B4-BE49-F238E27FC236}">
                  <a16:creationId xmlns:a16="http://schemas.microsoft.com/office/drawing/2014/main" id="{B8C7344A-977E-32DE-6AE9-0402B2F478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9D2913">
        <w:br/>
      </w:r>
      <w:r w:rsidRPr="00F9563E">
        <w:rPr>
          <w:b/>
          <w:bCs/>
        </w:rPr>
        <w:t>Figure 1:</w:t>
      </w:r>
      <w:r>
        <w:t xml:space="preserve">  Crowdfunding outcome considered by Category.</w:t>
      </w:r>
    </w:p>
    <w:p w14:paraId="6A938BFA" w14:textId="705D13CE" w:rsidR="00F9563E" w:rsidRDefault="00F9563E">
      <w:r>
        <w:rPr>
          <w:noProof/>
        </w:rPr>
        <w:lastRenderedPageBreak/>
        <w:drawing>
          <wp:inline distT="0" distB="0" distL="0" distR="0" wp14:anchorId="1617C005" wp14:editId="784EEB47">
            <wp:extent cx="5943600" cy="2512695"/>
            <wp:effectExtent l="0" t="0" r="0" b="1905"/>
            <wp:docPr id="2" name="Chart 2">
              <a:extLst xmlns:a="http://schemas.openxmlformats.org/drawingml/2006/main">
                <a:ext uri="{FF2B5EF4-FFF2-40B4-BE49-F238E27FC236}">
                  <a16:creationId xmlns:a16="http://schemas.microsoft.com/office/drawing/2014/main" id="{AC63DDAF-DDD4-4D19-A058-2979529986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F9563E">
        <w:rPr>
          <w:b/>
          <w:bCs/>
        </w:rPr>
        <w:t>Figure 2:</w:t>
      </w:r>
      <w:r>
        <w:t xml:space="preserve">  Crowdfunding outcome considered by Sub-category.</w:t>
      </w:r>
    </w:p>
    <w:p w14:paraId="49BC34F5" w14:textId="54486508" w:rsidR="00F9563E" w:rsidRDefault="00F9563E"/>
    <w:p w14:paraId="3F8512E9" w14:textId="77777777" w:rsidR="00F9563E" w:rsidRDefault="00F9563E">
      <w:r>
        <w:t>From this data it can be seen that entertainment ventures such as film, music, and theater (plays in particular) are the most popular form of crowdfunding campaign, although further analysis is needed to determine if those succeed at any higher rate than other categories.</w:t>
      </w:r>
      <w:r>
        <w:br/>
      </w:r>
      <w:r>
        <w:br/>
        <w:t xml:space="preserve">Outcome is then looked at considering the month of the year the crowdfunding campaign began, in </w:t>
      </w:r>
      <w:r w:rsidRPr="00C75744">
        <w:rPr>
          <w:b/>
          <w:bCs/>
        </w:rPr>
        <w:t>Figure 3</w:t>
      </w:r>
      <w:r>
        <w:t>.</w:t>
      </w:r>
      <w:r>
        <w:br/>
      </w:r>
    </w:p>
    <w:p w14:paraId="21582D59" w14:textId="0E0BBD34" w:rsidR="00F9563E" w:rsidRDefault="00F9563E">
      <w:r>
        <w:rPr>
          <w:noProof/>
        </w:rPr>
        <w:drawing>
          <wp:inline distT="0" distB="0" distL="0" distR="0" wp14:anchorId="2661795B" wp14:editId="06EE2770">
            <wp:extent cx="5943600" cy="2463800"/>
            <wp:effectExtent l="0" t="0" r="0" b="12700"/>
            <wp:docPr id="3" name="Chart 3">
              <a:extLst xmlns:a="http://schemas.openxmlformats.org/drawingml/2006/main">
                <a:ext uri="{FF2B5EF4-FFF2-40B4-BE49-F238E27FC236}">
                  <a16:creationId xmlns:a16="http://schemas.microsoft.com/office/drawing/2014/main" id="{8C839B60-BA68-9801-574D-39873B0C42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br/>
      </w:r>
      <w:r w:rsidRPr="00F9563E">
        <w:rPr>
          <w:b/>
          <w:bCs/>
        </w:rPr>
        <w:t>Figure 3:</w:t>
      </w:r>
      <w:r>
        <w:t xml:space="preserve">  Crowdfunding outcome considered by starting month.</w:t>
      </w:r>
      <w:r>
        <w:br/>
      </w:r>
    </w:p>
    <w:p w14:paraId="3DAAF4DB" w14:textId="79A8F62C" w:rsidR="00C75744" w:rsidRDefault="00F9563E">
      <w:r>
        <w:t xml:space="preserve">From this data it can be seen that campaign success generally </w:t>
      </w:r>
      <w:r w:rsidR="00E52D87">
        <w:t>begins to slump</w:t>
      </w:r>
      <w:r>
        <w:t xml:space="preserve"> around the holiday season in November/December, increases noticeably during the spring and summer, then begins to fall off again around the time </w:t>
      </w:r>
      <w:r w:rsidR="003F7802">
        <w:t xml:space="preserve">most people in the United States return to school in August.  Further analysis </w:t>
      </w:r>
      <w:r w:rsidR="00EC2924">
        <w:t xml:space="preserve">beyond </w:t>
      </w:r>
      <w:r w:rsidR="00EC2924">
        <w:lastRenderedPageBreak/>
        <w:t xml:space="preserve">the scope of this data set </w:t>
      </w:r>
      <w:r w:rsidR="003F7802">
        <w:t>would be needed to determine if those factors are causal</w:t>
      </w:r>
      <w:r w:rsidR="00C75744">
        <w:t>, but they are descriptive.</w:t>
      </w:r>
    </w:p>
    <w:p w14:paraId="2552847D" w14:textId="5503A119" w:rsidR="00C75744" w:rsidRDefault="00C75744">
      <w:r>
        <w:t>This particular data set has limitations that lead to further questions, such as what crowdfunding site each campaign used, what other advertising was done for it and where, and whether the people or organizations running the campaigns were previously publicly known figures or not.</w:t>
      </w:r>
      <w:r>
        <w:br/>
      </w:r>
      <w:r>
        <w:br/>
      </w:r>
      <w:r w:rsidR="004D5B9C">
        <w:t xml:space="preserve">Although there are not a lot of further details in the data set, outcomes could be charted to see what affect Country, Staff Pick (it’s unclear from the data set what this Boolean value means exactly), and </w:t>
      </w:r>
      <w:r w:rsidR="001A32E0">
        <w:t>Spot</w:t>
      </w:r>
      <w:r w:rsidR="004D5B9C">
        <w:t>light (meaning also unclear)</w:t>
      </w:r>
      <w:r w:rsidR="001A32E0">
        <w:t xml:space="preserve"> have on the outcome.  It might also be interesting to look at Average Donation to see if campaigns that rely on lots of small backers are more or less successful than campaigns that rely on a few large backers, if those two types of campaigns break down by Category (perhaps large</w:t>
      </w:r>
      <w:r w:rsidR="0016547D">
        <w:t xml:space="preserve"> or small</w:t>
      </w:r>
      <w:r w:rsidR="001A32E0">
        <w:t xml:space="preserve"> donors </w:t>
      </w:r>
      <w:r w:rsidR="0016547D">
        <w:t>prefer certain types of campaigns), and what is the variability of donation size (do large and small donors often give to the same types of campaigns).</w:t>
      </w:r>
      <w:r w:rsidR="00F83489">
        <w:br/>
      </w:r>
      <w:r w:rsidR="00F83489">
        <w:br/>
        <w:t>Answering some of these additional questions (some of which would require data not present but that might be accessible with further research) would allow for more carefully targeted campaigns that reach the most receptive audience possible during their most receptive times of the year.</w:t>
      </w:r>
    </w:p>
    <w:p w14:paraId="5ACE6F37" w14:textId="77777777" w:rsidR="00C75744" w:rsidRDefault="00C75744"/>
    <w:sectPr w:rsidR="00C75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F0F"/>
    <w:rsid w:val="0016547D"/>
    <w:rsid w:val="001A32E0"/>
    <w:rsid w:val="00292F0F"/>
    <w:rsid w:val="00320E37"/>
    <w:rsid w:val="003F7802"/>
    <w:rsid w:val="004D5B9C"/>
    <w:rsid w:val="00581E5C"/>
    <w:rsid w:val="009D2913"/>
    <w:rsid w:val="00C75744"/>
    <w:rsid w:val="00E52D87"/>
    <w:rsid w:val="00EC2924"/>
    <w:rsid w:val="00F83489"/>
    <w:rsid w:val="00F95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6367D"/>
  <w15:chartTrackingRefBased/>
  <w15:docId w15:val="{5BB6F46E-A819-4EEF-9CC5-B30119C2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28cd9cc4fde23f80/Desktop/Data%20Course/Modules/Module%201/Module%201%20Challenge/Starter_Code/Instructions/CrowdfundingBook-PivotTableSt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28cd9cc4fde23f80/Desktop/Data%20Course/Modules/Module%201/Module%201%20Challenge/Starter_Code/Instructions/CrowdfundingBook-PivotTableSta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28cd9cc4fde23f80/Desktop/Data%20Course/Modules/Module%201/Module%201%20Challenge/Starter_Code/Instructions/CrowdfundingBook-PivotTableStar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[CrowdfundingBook-PivotTableStart.xlsx]Outcome by Category!PivotTable1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Outcome by 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E2E2E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818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00A1D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00E668"/>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E2E2E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818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00A1D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00E668"/>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E2E2E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F818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00A1D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00E668"/>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'Outcome by Category'!$B$3:$B$4</c:f>
              <c:strCache>
                <c:ptCount val="1"/>
                <c:pt idx="0">
                  <c:v>canceled</c:v>
                </c:pt>
              </c:strCache>
            </c:strRef>
          </c:tx>
          <c:spPr>
            <a:solidFill>
              <a:srgbClr val="E2E2E2"/>
            </a:solidFill>
            <a:ln>
              <a:noFill/>
            </a:ln>
            <a:effectLst/>
          </c:spPr>
          <c:invertIfNegative val="0"/>
          <c:cat>
            <c:strRef>
              <c:f>'Outcome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by Category'!$B$5:$B$14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97AE-4117-8524-E82D876BFEDD}"/>
            </c:ext>
          </c:extLst>
        </c:ser>
        <c:ser>
          <c:idx val="1"/>
          <c:order val="1"/>
          <c:tx>
            <c:strRef>
              <c:f>'Outcome by Category'!$C$3:$C$4</c:f>
              <c:strCache>
                <c:ptCount val="1"/>
                <c:pt idx="0">
                  <c:v>failed</c:v>
                </c:pt>
              </c:strCache>
            </c:strRef>
          </c:tx>
          <c:spPr>
            <a:solidFill>
              <a:srgbClr val="FF8181"/>
            </a:solidFill>
            <a:ln>
              <a:noFill/>
            </a:ln>
            <a:effectLst/>
          </c:spPr>
          <c:invertIfNegative val="0"/>
          <c:cat>
            <c:strRef>
              <c:f>'Outcome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by Category'!$C$5:$C$14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97AE-4117-8524-E82D876BFEDD}"/>
            </c:ext>
          </c:extLst>
        </c:ser>
        <c:ser>
          <c:idx val="2"/>
          <c:order val="2"/>
          <c:tx>
            <c:strRef>
              <c:f>'Outcome by Category'!$D$3:$D$4</c:f>
              <c:strCache>
                <c:ptCount val="1"/>
                <c:pt idx="0">
                  <c:v>live</c:v>
                </c:pt>
              </c:strCache>
            </c:strRef>
          </c:tx>
          <c:spPr>
            <a:solidFill>
              <a:srgbClr val="00A1DA"/>
            </a:solidFill>
            <a:ln>
              <a:noFill/>
            </a:ln>
            <a:effectLst/>
          </c:spPr>
          <c:invertIfNegative val="0"/>
          <c:cat>
            <c:strRef>
              <c:f>'Outcome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by Category'!$D$5:$D$14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97AE-4117-8524-E82D876BFEDD}"/>
            </c:ext>
          </c:extLst>
        </c:ser>
        <c:ser>
          <c:idx val="3"/>
          <c:order val="3"/>
          <c:tx>
            <c:strRef>
              <c:f>'Outcome by Category'!$E$3:$E$4</c:f>
              <c:strCache>
                <c:ptCount val="1"/>
                <c:pt idx="0">
                  <c:v>successful</c:v>
                </c:pt>
              </c:strCache>
            </c:strRef>
          </c:tx>
          <c:spPr>
            <a:solidFill>
              <a:srgbClr val="00E668"/>
            </a:solidFill>
            <a:ln>
              <a:noFill/>
            </a:ln>
            <a:effectLst/>
          </c:spPr>
          <c:invertIfNegative val="0"/>
          <c:cat>
            <c:strRef>
              <c:f>'Outcome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by Category'!$E$5:$E$14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97AE-4117-8524-E82D876BFEDD}"/>
            </c:ext>
          </c:extLst>
        </c:ser>
        <c:dLbls>
          <c:showLegendKey val="0"/>
          <c:showVal val="0"/>
          <c:showCatName val="0"/>
          <c:showSerName val="0"/>
          <c:showPercent val="0"/>
          <c:showBubbleSize val="0"/>
        </c:dLbls>
        <c:gapWidth val="219"/>
        <c:overlap val="100"/>
        <c:axId val="1154599199"/>
        <c:axId val="662433327"/>
      </c:barChart>
      <c:catAx>
        <c:axId val="11545991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433327"/>
        <c:crosses val="autoZero"/>
        <c:auto val="1"/>
        <c:lblAlgn val="ctr"/>
        <c:lblOffset val="100"/>
        <c:noMultiLvlLbl val="0"/>
      </c:catAx>
      <c:valAx>
        <c:axId val="662433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5991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[CrowdfundingBook-PivotTableStart.xlsx]Outcome by SubCategory!PivotTable1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Outcome by Sub-category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E2E2E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818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00A1D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00E668"/>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E2E2E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818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00A1D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00E668"/>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E2E2E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F818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00A1D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00E668"/>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E2E2E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rgbClr val="FF818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rgbClr val="00A1D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rgbClr val="00E668"/>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'Outcome by SubCategory'!$B$4:$B$5</c:f>
              <c:strCache>
                <c:ptCount val="1"/>
                <c:pt idx="0">
                  <c:v>canceled</c:v>
                </c:pt>
              </c:strCache>
            </c:strRef>
          </c:tx>
          <c:spPr>
            <a:solidFill>
              <a:srgbClr val="E2E2E2"/>
            </a:solidFill>
            <a:ln>
              <a:noFill/>
            </a:ln>
            <a:effectLst/>
          </c:spPr>
          <c:invertIfNegative val="0"/>
          <c:cat>
            <c:strRef>
              <c:f>'Outcome by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'Outcome by SubCategory'!$B$6:$B$30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0CD4-4923-A882-84DD255D38E3}"/>
            </c:ext>
          </c:extLst>
        </c:ser>
        <c:ser>
          <c:idx val="1"/>
          <c:order val="1"/>
          <c:tx>
            <c:strRef>
              <c:f>'Outcome by SubCategory'!$C$4:$C$5</c:f>
              <c:strCache>
                <c:ptCount val="1"/>
                <c:pt idx="0">
                  <c:v>failed</c:v>
                </c:pt>
              </c:strCache>
            </c:strRef>
          </c:tx>
          <c:spPr>
            <a:solidFill>
              <a:srgbClr val="FF8181"/>
            </a:solidFill>
            <a:ln>
              <a:noFill/>
            </a:ln>
            <a:effectLst/>
          </c:spPr>
          <c:invertIfNegative val="0"/>
          <c:cat>
            <c:strRef>
              <c:f>'Outcome by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'Outcome by SubCategory'!$C$6:$C$30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0CD4-4923-A882-84DD255D38E3}"/>
            </c:ext>
          </c:extLst>
        </c:ser>
        <c:ser>
          <c:idx val="2"/>
          <c:order val="2"/>
          <c:tx>
            <c:strRef>
              <c:f>'Outcome by SubCategory'!$D$4:$D$5</c:f>
              <c:strCache>
                <c:ptCount val="1"/>
                <c:pt idx="0">
                  <c:v>live</c:v>
                </c:pt>
              </c:strCache>
            </c:strRef>
          </c:tx>
          <c:spPr>
            <a:solidFill>
              <a:srgbClr val="00A1DA"/>
            </a:solidFill>
            <a:ln>
              <a:noFill/>
            </a:ln>
            <a:effectLst/>
          </c:spPr>
          <c:invertIfNegative val="0"/>
          <c:cat>
            <c:strRef>
              <c:f>'Outcome by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'Outcome by SubCategory'!$D$6:$D$30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0CD4-4923-A882-84DD255D38E3}"/>
            </c:ext>
          </c:extLst>
        </c:ser>
        <c:ser>
          <c:idx val="3"/>
          <c:order val="3"/>
          <c:tx>
            <c:strRef>
              <c:f>'Outcome by SubCategory'!$E$4:$E$5</c:f>
              <c:strCache>
                <c:ptCount val="1"/>
                <c:pt idx="0">
                  <c:v>successful</c:v>
                </c:pt>
              </c:strCache>
            </c:strRef>
          </c:tx>
          <c:spPr>
            <a:solidFill>
              <a:srgbClr val="00E668"/>
            </a:solidFill>
            <a:ln>
              <a:noFill/>
            </a:ln>
            <a:effectLst/>
          </c:spPr>
          <c:invertIfNegative val="0"/>
          <c:cat>
            <c:strRef>
              <c:f>'Outcome by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'Outcome by SubCategory'!$E$6:$E$30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0CD4-4923-A882-84DD255D38E3}"/>
            </c:ext>
          </c:extLst>
        </c:ser>
        <c:dLbls>
          <c:showLegendKey val="0"/>
          <c:showVal val="0"/>
          <c:showCatName val="0"/>
          <c:showSerName val="0"/>
          <c:showPercent val="0"/>
          <c:showBubbleSize val="0"/>
        </c:dLbls>
        <c:gapWidth val="219"/>
        <c:overlap val="100"/>
        <c:axId val="1154599199"/>
        <c:axId val="662433327"/>
      </c:barChart>
      <c:catAx>
        <c:axId val="11545991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433327"/>
        <c:crosses val="autoZero"/>
        <c:auto val="1"/>
        <c:lblAlgn val="ctr"/>
        <c:lblOffset val="100"/>
        <c:noMultiLvlLbl val="0"/>
      </c:catAx>
      <c:valAx>
        <c:axId val="662433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5991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[CrowdfundingBook-PivotTableStart.xlsx]Outcome with Dates!PivotTable6</c:name>
    <c:fmtId val="-1"/>
  </c:pivotSource>
  <c:chart>
    <c:autoTitleDeleted val="0"/>
    <c:pivotFmts>
      <c:pivotFmt>
        <c:idx val="0"/>
        <c:spPr>
          <a:solidFill>
            <a:schemeClr val="accent1"/>
          </a:solidFill>
          <a:ln w="28575" cap="rnd">
            <a:solidFill>
              <a:schemeClr val="bg1">
                <a:lumMod val="75000"/>
              </a:schemeClr>
            </a:solidFill>
            <a:round/>
          </a:ln>
          <a:effectLst/>
        </c:spPr>
        <c:marker>
          <c:symbol val="circle"/>
          <c:size val="5"/>
          <c:spPr>
            <a:solidFill>
              <a:schemeClr val="bg1">
                <a:lumMod val="75000"/>
              </a:schemeClr>
            </a:solid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rgbClr val="FF0000"/>
            </a:solidFill>
            <a:round/>
          </a:ln>
          <a:effectLst/>
        </c:spPr>
        <c:marker>
          <c:symbol val="circle"/>
          <c:size val="5"/>
          <c:spPr>
            <a:solidFill>
              <a:srgbClr val="FF0000"/>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rgbClr val="00B050"/>
            </a:solidFill>
            <a:round/>
          </a:ln>
          <a:effectLst/>
        </c:spPr>
        <c:marker>
          <c:symbol val="circle"/>
          <c:size val="5"/>
          <c:spPr>
            <a:solidFill>
              <a:srgbClr val="00B050"/>
            </a:solid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bg1">
                <a:lumMod val="75000"/>
              </a:schemeClr>
            </a:solidFill>
            <a:round/>
          </a:ln>
          <a:effectLst/>
        </c:spPr>
        <c:marker>
          <c:symbol val="circle"/>
          <c:size val="5"/>
          <c:spPr>
            <a:solidFill>
              <a:schemeClr val="bg1">
                <a:lumMod val="75000"/>
              </a:schemeClr>
            </a:solid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rgbClr val="FF0000"/>
            </a:solidFill>
            <a:round/>
          </a:ln>
          <a:effectLst/>
        </c:spPr>
        <c:marker>
          <c:symbol val="circle"/>
          <c:size val="5"/>
          <c:spPr>
            <a:solidFill>
              <a:srgbClr val="FF0000"/>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rgbClr val="00B050"/>
            </a:solidFill>
            <a:round/>
          </a:ln>
          <a:effectLst/>
        </c:spPr>
        <c:marker>
          <c:symbol val="circle"/>
          <c:size val="5"/>
          <c:spPr>
            <a:solidFill>
              <a:srgbClr val="00B050"/>
            </a:solid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bg1">
                <a:lumMod val="75000"/>
              </a:schemeClr>
            </a:solidFill>
            <a:round/>
          </a:ln>
          <a:effectLst/>
        </c:spPr>
        <c:marker>
          <c:symbol val="circle"/>
          <c:size val="5"/>
          <c:spPr>
            <a:solidFill>
              <a:schemeClr val="bg1">
                <a:lumMod val="75000"/>
              </a:schemeClr>
            </a:solid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rgbClr val="FF0000"/>
            </a:solidFill>
            <a:round/>
          </a:ln>
          <a:effectLst/>
        </c:spPr>
        <c:marker>
          <c:symbol val="circle"/>
          <c:size val="5"/>
          <c:spPr>
            <a:solidFill>
              <a:srgbClr val="FF0000"/>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rgbClr val="00B050"/>
            </a:solidFill>
            <a:round/>
          </a:ln>
          <a:effectLst/>
        </c:spPr>
        <c:marker>
          <c:symbol val="circle"/>
          <c:size val="5"/>
          <c:spPr>
            <a:solidFill>
              <a:srgbClr val="00B050"/>
            </a:solidFill>
            <a:ln w="9525">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'Outcome with Dates'!$B$4:$B$5</c:f>
              <c:strCache>
                <c:ptCount val="1"/>
                <c:pt idx="0">
                  <c:v>canceled</c:v>
                </c:pt>
              </c:strCache>
            </c:strRef>
          </c:tx>
          <c:spPr>
            <a:ln w="28575" cap="rnd">
              <a:solidFill>
                <a:schemeClr val="bg1">
                  <a:lumMod val="75000"/>
                </a:schemeClr>
              </a:solidFill>
              <a:round/>
            </a:ln>
            <a:effectLst/>
          </c:spPr>
          <c:marker>
            <c:symbol val="circle"/>
            <c:size val="5"/>
            <c:spPr>
              <a:solidFill>
                <a:schemeClr val="bg1">
                  <a:lumMod val="75000"/>
                </a:schemeClr>
              </a:solidFill>
              <a:ln w="9525">
                <a:noFill/>
              </a:ln>
              <a:effectLst/>
            </c:spPr>
          </c:marker>
          <c:cat>
            <c:strRef>
              <c:f>'Outcome with Dates'!$A$6:$A$18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with Dates'!$B$6:$B$18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6C6B-4241-9523-3694ABB44787}"/>
            </c:ext>
          </c:extLst>
        </c:ser>
        <c:ser>
          <c:idx val="1"/>
          <c:order val="1"/>
          <c:tx>
            <c:strRef>
              <c:f>'Outcome with Dates'!$C$4:$C$5</c:f>
              <c:strCache>
                <c:ptCount val="1"/>
                <c:pt idx="0">
                  <c:v>failed</c:v>
                </c:pt>
              </c:strCache>
            </c:strRef>
          </c:tx>
          <c:spPr>
            <a:ln w="28575" cap="rnd">
              <a:solidFill>
                <a:srgbClr val="FF0000"/>
              </a:solidFill>
              <a:round/>
            </a:ln>
            <a:effectLst/>
          </c:spPr>
          <c:marker>
            <c:symbol val="circle"/>
            <c:size val="5"/>
            <c:spPr>
              <a:solidFill>
                <a:srgbClr val="FF0000"/>
              </a:solidFill>
              <a:ln w="9525">
                <a:solidFill>
                  <a:schemeClr val="accent2"/>
                </a:solidFill>
              </a:ln>
              <a:effectLst/>
            </c:spPr>
          </c:marker>
          <c:cat>
            <c:strRef>
              <c:f>'Outcome with Dates'!$A$6:$A$18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with Dates'!$C$6:$C$18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6C6B-4241-9523-3694ABB44787}"/>
            </c:ext>
          </c:extLst>
        </c:ser>
        <c:ser>
          <c:idx val="2"/>
          <c:order val="2"/>
          <c:tx>
            <c:strRef>
              <c:f>'Outcome with Dates'!$D$4:$D$5</c:f>
              <c:strCache>
                <c:ptCount val="1"/>
                <c:pt idx="0">
                  <c:v>successful</c:v>
                </c:pt>
              </c:strCache>
            </c:strRef>
          </c:tx>
          <c:spPr>
            <a:ln w="28575" cap="rnd">
              <a:solidFill>
                <a:srgbClr val="00B050"/>
              </a:solidFill>
              <a:round/>
            </a:ln>
            <a:effectLst/>
          </c:spPr>
          <c:marker>
            <c:symbol val="circle"/>
            <c:size val="5"/>
            <c:spPr>
              <a:solidFill>
                <a:srgbClr val="00B050"/>
              </a:solidFill>
              <a:ln w="9525">
                <a:noFill/>
              </a:ln>
              <a:effectLst/>
            </c:spPr>
          </c:marker>
          <c:cat>
            <c:strRef>
              <c:f>'Outcome with Dates'!$A$6:$A$18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with Dates'!$D$6:$D$18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2-6C6B-4241-9523-3694ABB44787}"/>
            </c:ext>
          </c:extLst>
        </c:ser>
        <c:dLbls>
          <c:showLegendKey val="0"/>
          <c:showVal val="0"/>
          <c:showCatName val="0"/>
          <c:showSerName val="0"/>
          <c:showPercent val="0"/>
          <c:showBubbleSize val="0"/>
        </c:dLbls>
        <c:marker val="1"/>
        <c:smooth val="0"/>
        <c:axId val="1010353247"/>
        <c:axId val="1005243391"/>
      </c:lineChart>
      <c:catAx>
        <c:axId val="1010353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5243391"/>
        <c:crosses val="autoZero"/>
        <c:auto val="1"/>
        <c:lblAlgn val="ctr"/>
        <c:lblOffset val="100"/>
        <c:noMultiLvlLbl val="0"/>
      </c:catAx>
      <c:valAx>
        <c:axId val="1005243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3532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Gallagher</dc:creator>
  <cp:keywords/>
  <dc:description/>
  <cp:lastModifiedBy>Craig Gallagher</cp:lastModifiedBy>
  <cp:revision>9</cp:revision>
  <dcterms:created xsi:type="dcterms:W3CDTF">2023-03-17T23:39:00Z</dcterms:created>
  <dcterms:modified xsi:type="dcterms:W3CDTF">2023-03-18T02:24:00Z</dcterms:modified>
</cp:coreProperties>
</file>