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pPr>
      <w:r>
        <w:rPr>
          <w:rFonts w:ascii="Inter" w:hAnsi="Inter"/>
          <w:b/>
          <w:color w:val="1E487B"/>
          <w:sz w:val="52"/>
        </w:rPr>
        <w:t>PG</w:t>
      </w:r>
    </w:p>
    <w:p>
      <w:pPr>
        <w:pStyle w:val="Title"/>
      </w:pPr>
      <w:r>
        <w:t>The Payroll Giving Scheme</w:t>
        <w:br/>
        <w:t>Digital Brand &amp; Website</w:t>
        <w:br/>
        <w:t>Replication Brief</w:t>
      </w:r>
    </w:p>
    <w:p>
      <w:pPr>
        <w:spacing w:before="360"/>
      </w:pPr>
      <w:r>
        <w:rPr>
          <w:color w:val="52627A"/>
          <w:sz w:val="28"/>
        </w:rPr>
        <w:t>A complete design, interaction and voice system for reproducing the current landing page and extending it consistently.</w:t>
      </w:r>
    </w:p>
    <w:p>
      <w:pPr>
        <w:spacing w:before="900"/>
      </w:pPr>
      <w:r>
        <w:rPr>
          <w:b/>
          <w:color w:val="1E487B"/>
          <w:sz w:val="16"/>
        </w:rPr>
        <w:t>VERSION 1.0  /  AUGUST 2026</w:t>
      </w:r>
    </w:p>
    <w:p>
      <w:r>
        <w:br w:type="page"/>
      </w:r>
    </w:p>
    <w:p>
      <w:pPr>
        <w:pStyle w:val="Heading1"/>
      </w:pPr>
      <w:r>
        <w:t>1. Brand core</w:t>
      </w:r>
    </w:p>
    <w:p>
      <w:pPr>
        <w:pStyle w:val="Heading2"/>
      </w:pPr>
      <w:r>
        <w:t>Purpose</w:t>
      </w:r>
    </w:p>
    <w:p>
      <w:r>
        <w:t>Make Payroll Giving feel like the modern, obvious and trustworthy way to give - particularly for SMEs and their employees.</w:t>
      </w:r>
    </w:p>
    <w:p>
      <w:pPr>
        <w:pStyle w:val="Heading2"/>
      </w:pPr>
      <w:r>
        <w:t>Mission</w:t>
      </w:r>
    </w:p>
    <w:p>
      <w:r>
        <w:t>Ensure every employee in the UK can give more to charity in the most tax-efficient way possible.</w:t>
      </w:r>
    </w:p>
    <w:p>
      <w:pPr>
        <w:pStyle w:val="Heading2"/>
      </w:pPr>
      <w:r>
        <w:t>Current campaign goal</w:t>
      </w:r>
    </w:p>
    <w:p>
      <w:r>
        <w:t>Unlock £1m of additional charitable donations through SME Payroll Giving.</w:t>
      </w:r>
    </w:p>
    <w:p>
      <w:pPr>
        <w:pStyle w:val="Heading2"/>
      </w:pPr>
      <w:r>
        <w:t>Brand promise</w:t>
      </w:r>
    </w:p>
    <w:p>
      <w:r>
        <w:t>Tax-efficient giving - made simple.</w:t>
      </w:r>
    </w:p>
    <w:p>
      <w:pPr>
        <w:pStyle w:val="Heading2"/>
      </w:pPr>
      <w:r>
        <w:t>Desired impression</w:t>
      </w:r>
    </w:p>
    <w:p>
      <w:r>
        <w:t>A credible new standard: modern without feeling like a start-up gimmick; charitable without becoming sentimental; financially literate without becoming technical; optimistic without overstating claims.</w:t>
      </w:r>
    </w:p>
    <w:p>
      <w:pPr>
        <w:pStyle w:val="Heading2"/>
      </w:pPr>
      <w:r>
        <w:t>Personality</w:t>
      </w:r>
    </w:p>
    <w:p>
      <w:r>
        <w:t>Clear, purposeful, warm, capable, quietly ambitious, transparent and practical.</w:t>
      </w:r>
    </w:p>
    <w:p>
      <w:pPr>
        <w:pStyle w:val="Heading1"/>
      </w:pPr>
      <w:r>
        <w:t>2. Design principles</w:t>
      </w:r>
    </w:p>
    <w:p>
      <w:pPr>
        <w:pStyle w:val="Heading2"/>
      </w:pPr>
      <w:r>
        <w:t>Clarity before decoration</w:t>
      </w:r>
    </w:p>
    <w:p>
      <w:r>
        <w:t>Every visual should explain a proposition, comparison or next action. Avoid decorative illustration that does not carry meaning.</w:t>
      </w:r>
    </w:p>
    <w:p>
      <w:pPr>
        <w:pStyle w:val="Heading2"/>
      </w:pPr>
      <w:r>
        <w:t>Editorial confidence</w:t>
      </w:r>
    </w:p>
    <w:p>
      <w:r>
        <w:t>Use large type, short statements, generous whitespace and a strong reading order. The page should feel composed rather than crowded.</w:t>
      </w:r>
    </w:p>
    <w:p>
      <w:pPr>
        <w:pStyle w:val="Heading2"/>
      </w:pPr>
      <w:r>
        <w:t>Simple systems</w:t>
      </w:r>
    </w:p>
    <w:p>
      <w:r>
        <w:t>Reduce complex ideas to dots, lines, cards, counters, toggles and short labels. Prefer one strong visual metaphor per section.</w:t>
      </w:r>
    </w:p>
    <w:p>
      <w:pPr>
        <w:pStyle w:val="Heading2"/>
      </w:pPr>
      <w:r>
        <w:t>Trust through restraint</w:t>
      </w:r>
    </w:p>
    <w:p>
      <w:r>
        <w:t>Use a limited palette, consistent spacing, light borders and modest motion. Do not rely on gradients, glossy effects, noisy patterns or exaggerated claims.</w:t>
      </w:r>
    </w:p>
    <w:p>
      <w:pPr>
        <w:pStyle w:val="Heading2"/>
      </w:pPr>
      <w:r>
        <w:t>Human, not corporate</w:t>
      </w:r>
    </w:p>
    <w:p>
      <w:r>
        <w:t>Keep language conversational and direct. The experience should feel approachable to a first-time donor while remaining credible to trustees, employers and partners.</w:t>
      </w:r>
    </w:p>
    <w:p>
      <w:pPr>
        <w:pStyle w:val="Heading1"/>
      </w:pPr>
      <w:r>
        <w:t>3. Logo and identity</w:t>
      </w:r>
    </w:p>
    <w:p>
      <w:pPr>
        <w:pStyle w:val="Heading2"/>
      </w:pPr>
      <w:r>
        <w:t>Primary mark</w:t>
      </w:r>
    </w:p>
    <w:p>
      <w:r>
        <w:t>Use the interlocking PG monogram supplied in the original brand assets. It may appear alone in compact navigation or with the stacked wordmark “THE PAYROLL / GIVING SCHEME” in formal contexts.</w:t>
      </w:r>
    </w:p>
    <w:p>
      <w:pPr>
        <w:pStyle w:val="Heading2"/>
      </w:pPr>
      <w:r>
        <w:t>Colour</w:t>
      </w:r>
    </w:p>
    <w:p>
      <w:r>
        <w:t>Default to deep navy on warm cream or white. A reversed cream/white mark may be used on navy. Do not add shadows, gradients, outlines or unapproved colours.</w:t>
      </w:r>
    </w:p>
    <w:p>
      <w:pPr>
        <w:pStyle w:val="Heading2"/>
      </w:pPr>
      <w:r>
        <w:t>Clear space</w:t>
      </w:r>
    </w:p>
    <w:p>
      <w:r>
        <w:t>Maintain clear space around the mark equal to at least the width of the inner curved stroke. Never crowd it against a viewport edge, button or headline.</w:t>
      </w:r>
    </w:p>
    <w:p>
      <w:pPr>
        <w:pStyle w:val="Heading2"/>
      </w:pPr>
      <w:r>
        <w:t>Minimum use</w:t>
      </w:r>
    </w:p>
    <w:p>
      <w:r>
        <w:t>Use the monogram at approximately 28-36 px high in a desktop navigation. Use the full lock-up only where there is enough space for the name to remain legible.</w:t>
      </w:r>
    </w:p>
    <w:p>
      <w:pPr>
        <w:pStyle w:val="Heading2"/>
      </w:pPr>
      <w:r>
        <w:t>Do not</w:t>
      </w:r>
    </w:p>
    <w:p>
      <w:r>
        <w:t>Do not stretch, rotate, recolour individual components, place over busy imagery, recreate with a substitute typeface, or use the old glowing/blurred treatment as a standard web treatment.</w:t>
      </w:r>
    </w:p>
    <w:p>
      <w:pPr>
        <w:pStyle w:val="Heading1"/>
      </w:pPr>
      <w:r>
        <w:t>4. Typography</w:t>
      </w:r>
    </w:p>
    <w:p>
      <w:pPr>
        <w:pStyle w:val="Heading2"/>
      </w:pPr>
      <w:r>
        <w:t>Primary family</w:t>
      </w:r>
    </w:p>
    <w:p>
      <w:r>
        <w:t>Inter. This is the original and continuing brand typeface. Use it for headings, body copy, navigation, buttons, labels, figures and UI.</w:t>
      </w:r>
    </w:p>
    <w:p>
      <w:pPr>
        <w:pStyle w:val="Heading2"/>
      </w:pPr>
      <w:r>
        <w:t>Weights</w:t>
      </w:r>
    </w:p>
    <w:p>
      <w:r>
        <w:t>Light 300 for occasional large supporting statements; Regular 400 for body; Medium 500 for navigation and UI; SemiBold 600 for subheads and emphasis; Bold 700 for major figures and decisive headlines.</w:t>
      </w:r>
    </w:p>
    <w:p>
      <w:pPr>
        <w:pStyle w:val="Heading2"/>
      </w:pPr>
      <w:r>
        <w:t>Hero</w:t>
      </w:r>
    </w:p>
    <w:p>
      <w:r>
        <w:t>Desktop: 64-80 px, 0.95-1.02 line-height, -0.03em to -0.045em tracking, Bold. Mobile: 42-52 px.</w:t>
      </w:r>
    </w:p>
    <w:p>
      <w:pPr>
        <w:pStyle w:val="Heading2"/>
      </w:pPr>
      <w:r>
        <w:t>Section heading</w:t>
      </w:r>
    </w:p>
    <w:p>
      <w:r>
        <w:t>Desktop: 44-60 px, 1.0-1.08 line-height, -0.025em tracking, SemiBold/Bold. Mobile: 34-42 px.</w:t>
      </w:r>
    </w:p>
    <w:p>
      <w:pPr>
        <w:pStyle w:val="Heading2"/>
      </w:pPr>
      <w:r>
        <w:t>Body</w:t>
      </w:r>
    </w:p>
    <w:p>
      <w:r>
        <w:t>Desktop: 18-20 px with 1.45-1.6 line-height. Mobile: 16-18 px. Use Regular and keep readable lines to roughly 55-72 characters.</w:t>
      </w:r>
    </w:p>
    <w:p>
      <w:pPr>
        <w:pStyle w:val="Heading2"/>
      </w:pPr>
      <w:r>
        <w:t>Labels and buttons</w:t>
      </w:r>
    </w:p>
    <w:p>
      <w:r>
        <w:t>14-16 px, Medium/SemiBold. Sentence case is preferred. Use uppercase only for very short eyebrow labels such as MISSION: and apply modest tracking.</w:t>
      </w:r>
    </w:p>
    <w:p>
      <w:pPr>
        <w:pStyle w:val="Heading2"/>
      </w:pPr>
      <w:r>
        <w:t>Fallback stack</w:t>
      </w:r>
    </w:p>
    <w:p>
      <w:r>
        <w:t>Inter, ui-sans-serif, system-ui, -apple-system, BlinkMacSystemFont, “Segoe UI”, sans-serif.</w:t>
      </w:r>
    </w:p>
    <w:p>
      <w:pPr>
        <w:pStyle w:val="Heading1"/>
      </w:pPr>
      <w:r>
        <w:t>5. Colour system</w:t>
      </w:r>
    </w:p>
    <w:tbl>
      <w:tblPr>
        <w:tblW w:type="auto" w:w="0"/>
        <w:jc w:val="center"/>
        <w:tblLayout w:type="fixed"/>
        <w:tblLook w:firstColumn="1" w:firstRow="1" w:lastColumn="0" w:lastRow="0" w:noHBand="0" w:noVBand="1" w:val="04A0"/>
      </w:tblPr>
      <w:tblGrid>
        <w:gridCol w:w="3331"/>
        <w:gridCol w:w="3331"/>
        <w:gridCol w:w="3331"/>
      </w:tblGrid>
      <w:tr>
        <w:tc>
          <w:tcPr>
            <w:tcW w:type="dxa" w:w="792"/>
            <w:tcMar>
              <w:top w:w="90" w:type="dxa"/>
              <w:start w:w="120" w:type="dxa"/>
              <w:bottom w:w="90" w:type="dxa"/>
              <w:end w:w="120" w:type="dxa"/>
            </w:tcMar>
            <w:vAlign w:val="center"/>
            <w:shd w:fill="F9F7F0"/>
          </w:tcPr>
          <w:p>
            <w:pPr>
              <w:spacing w:after="0"/>
            </w:pPr>
          </w:p>
        </w:tc>
        <w:tc>
          <w:tcPr>
            <w:tcW w:type="dxa" w:w="2088"/>
            <w:tcMar>
              <w:top w:w="90" w:type="dxa"/>
              <w:start w:w="120" w:type="dxa"/>
              <w:bottom w:w="90" w:type="dxa"/>
              <w:end w:w="120" w:type="dxa"/>
            </w:tcMar>
            <w:vAlign w:val="center"/>
          </w:tcPr>
          <w:p>
            <w:pPr>
              <w:spacing w:after="0"/>
            </w:pPr>
            <w:r>
              <w:rPr>
                <w:rFonts w:ascii="Inter" w:hAnsi="Inter"/>
                <w:color w:val="16263D"/>
                <w:sz w:val="17"/>
              </w:rPr>
              <w:t>Warm canvas - #F9F7F0</w:t>
            </w:r>
          </w:p>
        </w:tc>
        <w:tc>
          <w:tcPr>
            <w:tcW w:type="dxa" w:w="7056"/>
            <w:tcMar>
              <w:top w:w="90" w:type="dxa"/>
              <w:start w:w="120" w:type="dxa"/>
              <w:bottom w:w="90" w:type="dxa"/>
              <w:end w:w="120" w:type="dxa"/>
            </w:tcMar>
            <w:vAlign w:val="center"/>
          </w:tcPr>
          <w:p>
            <w:pPr>
              <w:spacing w:after="0"/>
            </w:pPr>
            <w:r>
              <w:rPr>
                <w:rFonts w:ascii="Inter" w:hAnsi="Inter"/>
                <w:color w:val="16263D"/>
                <w:sz w:val="17"/>
              </w:rPr>
              <w:t>Primary background inherited from the original brand brief and pitch deck. It creates warmth without looking beige or nostalgic.</w:t>
            </w:r>
          </w:p>
        </w:tc>
      </w:tr>
      <w:tr>
        <w:tc>
          <w:tcPr>
            <w:tcW w:type="dxa" w:w="792"/>
            <w:tcMar>
              <w:top w:w="90" w:type="dxa"/>
              <w:start w:w="120" w:type="dxa"/>
              <w:bottom w:w="90" w:type="dxa"/>
              <w:end w:w="120" w:type="dxa"/>
            </w:tcMar>
            <w:vAlign w:val="center"/>
            <w:shd w:fill="0F1F36"/>
          </w:tcPr>
          <w:p>
            <w:pPr>
              <w:spacing w:after="0"/>
            </w:pPr>
          </w:p>
        </w:tc>
        <w:tc>
          <w:tcPr>
            <w:tcW w:type="dxa" w:w="2088"/>
            <w:tcMar>
              <w:top w:w="90" w:type="dxa"/>
              <w:start w:w="120" w:type="dxa"/>
              <w:bottom w:w="90" w:type="dxa"/>
              <w:end w:w="120" w:type="dxa"/>
            </w:tcMar>
            <w:vAlign w:val="center"/>
          </w:tcPr>
          <w:p>
            <w:pPr>
              <w:spacing w:after="0"/>
            </w:pPr>
            <w:r>
              <w:rPr>
                <w:rFonts w:ascii="Inter" w:hAnsi="Inter"/>
                <w:color w:val="16263D"/>
                <w:sz w:val="17"/>
              </w:rPr>
              <w:t>Deep navy - #0F1F36</w:t>
            </w:r>
          </w:p>
        </w:tc>
        <w:tc>
          <w:tcPr>
            <w:tcW w:type="dxa" w:w="7056"/>
            <w:tcMar>
              <w:top w:w="90" w:type="dxa"/>
              <w:start w:w="120" w:type="dxa"/>
              <w:bottom w:w="90" w:type="dxa"/>
              <w:end w:w="120" w:type="dxa"/>
            </w:tcMar>
            <w:vAlign w:val="center"/>
          </w:tcPr>
          <w:p>
            <w:pPr>
              <w:spacing w:after="0"/>
            </w:pPr>
            <w:r>
              <w:rPr>
                <w:rFonts w:ascii="Inter" w:hAnsi="Inter"/>
                <w:color w:val="16263D"/>
                <w:sz w:val="17"/>
              </w:rPr>
              <w:t>Primary ink and dark-section background. Use for headlines, primary buttons, navigation and high-contrast bands.</w:t>
            </w:r>
          </w:p>
        </w:tc>
      </w:tr>
      <w:tr>
        <w:tc>
          <w:tcPr>
            <w:tcW w:type="dxa" w:w="792"/>
            <w:tcMar>
              <w:top w:w="90" w:type="dxa"/>
              <w:start w:w="120" w:type="dxa"/>
              <w:bottom w:w="90" w:type="dxa"/>
              <w:end w:w="120" w:type="dxa"/>
            </w:tcMar>
            <w:vAlign w:val="center"/>
            <w:shd w:fill="1E487B"/>
          </w:tcPr>
          <w:p>
            <w:pPr>
              <w:spacing w:after="0"/>
            </w:pPr>
          </w:p>
        </w:tc>
        <w:tc>
          <w:tcPr>
            <w:tcW w:type="dxa" w:w="2088"/>
            <w:tcMar>
              <w:top w:w="90" w:type="dxa"/>
              <w:start w:w="120" w:type="dxa"/>
              <w:bottom w:w="90" w:type="dxa"/>
              <w:end w:w="120" w:type="dxa"/>
            </w:tcMar>
            <w:vAlign w:val="center"/>
          </w:tcPr>
          <w:p>
            <w:pPr>
              <w:spacing w:after="0"/>
            </w:pPr>
            <w:r>
              <w:rPr>
                <w:rFonts w:ascii="Inter" w:hAnsi="Inter"/>
                <w:color w:val="16263D"/>
                <w:sz w:val="17"/>
              </w:rPr>
              <w:t>Brand blue - #1E487B</w:t>
            </w:r>
          </w:p>
        </w:tc>
        <w:tc>
          <w:tcPr>
            <w:tcW w:type="dxa" w:w="7056"/>
            <w:tcMar>
              <w:top w:w="90" w:type="dxa"/>
              <w:start w:w="120" w:type="dxa"/>
              <w:bottom w:w="90" w:type="dxa"/>
              <w:end w:w="120" w:type="dxa"/>
            </w:tcMar>
            <w:vAlign w:val="center"/>
          </w:tcPr>
          <w:p>
            <w:pPr>
              <w:spacing w:after="0"/>
            </w:pPr>
            <w:r>
              <w:rPr>
                <w:rFonts w:ascii="Inter" w:hAnsi="Inter"/>
                <w:color w:val="16263D"/>
                <w:sz w:val="17"/>
              </w:rPr>
              <w:t>Primary accent for active states, diagrams, selected cards, links and restrained emphasis.</w:t>
            </w:r>
          </w:p>
        </w:tc>
      </w:tr>
      <w:tr>
        <w:tc>
          <w:tcPr>
            <w:tcW w:type="dxa" w:w="792"/>
            <w:tcMar>
              <w:top w:w="90" w:type="dxa"/>
              <w:start w:w="120" w:type="dxa"/>
              <w:bottom w:w="90" w:type="dxa"/>
              <w:end w:w="120" w:type="dxa"/>
            </w:tcMar>
            <w:vAlign w:val="center"/>
            <w:shd w:fill="16263D"/>
          </w:tcPr>
          <w:p>
            <w:pPr>
              <w:spacing w:after="0"/>
            </w:pPr>
          </w:p>
        </w:tc>
        <w:tc>
          <w:tcPr>
            <w:tcW w:type="dxa" w:w="2088"/>
            <w:tcMar>
              <w:top w:w="90" w:type="dxa"/>
              <w:start w:w="120" w:type="dxa"/>
              <w:bottom w:w="90" w:type="dxa"/>
              <w:end w:w="120" w:type="dxa"/>
            </w:tcMar>
            <w:vAlign w:val="center"/>
          </w:tcPr>
          <w:p>
            <w:pPr>
              <w:spacing w:after="0"/>
            </w:pPr>
            <w:r>
              <w:rPr>
                <w:rFonts w:ascii="Inter" w:hAnsi="Inter"/>
                <w:color w:val="16263D"/>
                <w:sz w:val="17"/>
              </w:rPr>
              <w:t>Ink navy - #16263D</w:t>
            </w:r>
          </w:p>
        </w:tc>
        <w:tc>
          <w:tcPr>
            <w:tcW w:type="dxa" w:w="7056"/>
            <w:tcMar>
              <w:top w:w="90" w:type="dxa"/>
              <w:start w:w="120" w:type="dxa"/>
              <w:bottom w:w="90" w:type="dxa"/>
              <w:end w:w="120" w:type="dxa"/>
            </w:tcMar>
            <w:vAlign w:val="center"/>
          </w:tcPr>
          <w:p>
            <w:pPr>
              <w:spacing w:after="0"/>
            </w:pPr>
            <w:r>
              <w:rPr>
                <w:rFonts w:ascii="Inter" w:hAnsi="Inter"/>
                <w:color w:val="16263D"/>
                <w:sz w:val="17"/>
              </w:rPr>
              <w:t>Alternative text colour when a slightly softer navy is useful.</w:t>
            </w:r>
          </w:p>
        </w:tc>
      </w:tr>
      <w:tr>
        <w:tc>
          <w:tcPr>
            <w:tcW w:type="dxa" w:w="792"/>
            <w:tcMar>
              <w:top w:w="90" w:type="dxa"/>
              <w:start w:w="120" w:type="dxa"/>
              <w:bottom w:w="90" w:type="dxa"/>
              <w:end w:w="120" w:type="dxa"/>
            </w:tcMar>
            <w:vAlign w:val="center"/>
            <w:shd w:fill="52627A"/>
          </w:tcPr>
          <w:p>
            <w:pPr>
              <w:spacing w:after="0"/>
            </w:pPr>
          </w:p>
        </w:tc>
        <w:tc>
          <w:tcPr>
            <w:tcW w:type="dxa" w:w="2088"/>
            <w:tcMar>
              <w:top w:w="90" w:type="dxa"/>
              <w:start w:w="120" w:type="dxa"/>
              <w:bottom w:w="90" w:type="dxa"/>
              <w:end w:w="120" w:type="dxa"/>
            </w:tcMar>
            <w:vAlign w:val="center"/>
          </w:tcPr>
          <w:p>
            <w:pPr>
              <w:spacing w:after="0"/>
            </w:pPr>
            <w:r>
              <w:rPr>
                <w:rFonts w:ascii="Inter" w:hAnsi="Inter"/>
                <w:color w:val="16263D"/>
                <w:sz w:val="17"/>
              </w:rPr>
              <w:t>Slate - #52627A</w:t>
            </w:r>
          </w:p>
        </w:tc>
        <w:tc>
          <w:tcPr>
            <w:tcW w:type="dxa" w:w="7056"/>
            <w:tcMar>
              <w:top w:w="90" w:type="dxa"/>
              <w:start w:w="120" w:type="dxa"/>
              <w:bottom w:w="90" w:type="dxa"/>
              <w:end w:w="120" w:type="dxa"/>
            </w:tcMar>
            <w:vAlign w:val="center"/>
          </w:tcPr>
          <w:p>
            <w:pPr>
              <w:spacing w:after="0"/>
            </w:pPr>
            <w:r>
              <w:rPr>
                <w:rFonts w:ascii="Inter" w:hAnsi="Inter"/>
                <w:color w:val="16263D"/>
                <w:sz w:val="17"/>
              </w:rPr>
              <w:t>Secondary copy, captions and supporting descriptions.</w:t>
            </w:r>
          </w:p>
        </w:tc>
      </w:tr>
      <w:tr>
        <w:tc>
          <w:tcPr>
            <w:tcW w:type="dxa" w:w="792"/>
            <w:tcMar>
              <w:top w:w="90" w:type="dxa"/>
              <w:start w:w="120" w:type="dxa"/>
              <w:bottom w:w="90" w:type="dxa"/>
              <w:end w:w="120" w:type="dxa"/>
            </w:tcMar>
            <w:vAlign w:val="center"/>
            <w:shd w:fill="8E949A"/>
          </w:tcPr>
          <w:p>
            <w:pPr>
              <w:spacing w:after="0"/>
            </w:pPr>
          </w:p>
        </w:tc>
        <w:tc>
          <w:tcPr>
            <w:tcW w:type="dxa" w:w="2088"/>
            <w:tcMar>
              <w:top w:w="90" w:type="dxa"/>
              <w:start w:w="120" w:type="dxa"/>
              <w:bottom w:w="90" w:type="dxa"/>
              <w:end w:w="120" w:type="dxa"/>
            </w:tcMar>
            <w:vAlign w:val="center"/>
          </w:tcPr>
          <w:p>
            <w:pPr>
              <w:spacing w:after="0"/>
            </w:pPr>
            <w:r>
              <w:rPr>
                <w:rFonts w:ascii="Inter" w:hAnsi="Inter"/>
                <w:color w:val="16263D"/>
                <w:sz w:val="17"/>
              </w:rPr>
              <w:t>Muted grey - #8E949A</w:t>
            </w:r>
          </w:p>
        </w:tc>
        <w:tc>
          <w:tcPr>
            <w:tcW w:type="dxa" w:w="7056"/>
            <w:tcMar>
              <w:top w:w="90" w:type="dxa"/>
              <w:start w:w="120" w:type="dxa"/>
              <w:bottom w:w="90" w:type="dxa"/>
              <w:end w:w="120" w:type="dxa"/>
            </w:tcMar>
            <w:vAlign w:val="center"/>
          </w:tcPr>
          <w:p>
            <w:pPr>
              <w:spacing w:after="0"/>
            </w:pPr>
            <w:r>
              <w:rPr>
                <w:rFonts w:ascii="Inter" w:hAnsi="Inter"/>
                <w:color w:val="16263D"/>
                <w:sz w:val="17"/>
              </w:rPr>
              <w:t>De-emphasised labels and tertiary information. Do not use for critical content at small sizes.</w:t>
            </w:r>
          </w:p>
        </w:tc>
      </w:tr>
      <w:tr>
        <w:tc>
          <w:tcPr>
            <w:tcW w:type="dxa" w:w="792"/>
            <w:tcMar>
              <w:top w:w="90" w:type="dxa"/>
              <w:start w:w="120" w:type="dxa"/>
              <w:bottom w:w="90" w:type="dxa"/>
              <w:end w:w="120" w:type="dxa"/>
            </w:tcMar>
            <w:vAlign w:val="center"/>
            <w:shd w:fill="D8DDE2"/>
          </w:tcPr>
          <w:p>
            <w:pPr>
              <w:spacing w:after="0"/>
            </w:pPr>
          </w:p>
        </w:tc>
        <w:tc>
          <w:tcPr>
            <w:tcW w:type="dxa" w:w="2088"/>
            <w:tcMar>
              <w:top w:w="90" w:type="dxa"/>
              <w:start w:w="120" w:type="dxa"/>
              <w:bottom w:w="90" w:type="dxa"/>
              <w:end w:w="120" w:type="dxa"/>
            </w:tcMar>
            <w:vAlign w:val="center"/>
          </w:tcPr>
          <w:p>
            <w:pPr>
              <w:spacing w:after="0"/>
            </w:pPr>
            <w:r>
              <w:rPr>
                <w:rFonts w:ascii="Inter" w:hAnsi="Inter"/>
                <w:color w:val="16263D"/>
                <w:sz w:val="17"/>
              </w:rPr>
              <w:t>Rule grey - #D8DDE2</w:t>
            </w:r>
          </w:p>
        </w:tc>
        <w:tc>
          <w:tcPr>
            <w:tcW w:type="dxa" w:w="7056"/>
            <w:tcMar>
              <w:top w:w="90" w:type="dxa"/>
              <w:start w:w="120" w:type="dxa"/>
              <w:bottom w:w="90" w:type="dxa"/>
              <w:end w:w="120" w:type="dxa"/>
            </w:tcMar>
            <w:vAlign w:val="center"/>
          </w:tcPr>
          <w:p>
            <w:pPr>
              <w:spacing w:after="0"/>
            </w:pPr>
            <w:r>
              <w:rPr>
                <w:rFonts w:ascii="Inter" w:hAnsi="Inter"/>
                <w:color w:val="16263D"/>
                <w:sz w:val="17"/>
              </w:rPr>
              <w:t>Borders, dividers and inactive controls.</w:t>
            </w:r>
          </w:p>
        </w:tc>
      </w:tr>
      <w:tr>
        <w:tc>
          <w:tcPr>
            <w:tcW w:type="dxa" w:w="792"/>
            <w:tcMar>
              <w:top w:w="90" w:type="dxa"/>
              <w:start w:w="120" w:type="dxa"/>
              <w:bottom w:w="90" w:type="dxa"/>
              <w:end w:w="120" w:type="dxa"/>
            </w:tcMar>
            <w:vAlign w:val="center"/>
            <w:shd w:fill="EDF3F8"/>
          </w:tcPr>
          <w:p>
            <w:pPr>
              <w:spacing w:after="0"/>
            </w:pPr>
          </w:p>
        </w:tc>
        <w:tc>
          <w:tcPr>
            <w:tcW w:type="dxa" w:w="2088"/>
            <w:tcMar>
              <w:top w:w="90" w:type="dxa"/>
              <w:start w:w="120" w:type="dxa"/>
              <w:bottom w:w="90" w:type="dxa"/>
              <w:end w:w="120" w:type="dxa"/>
            </w:tcMar>
            <w:vAlign w:val="center"/>
          </w:tcPr>
          <w:p>
            <w:pPr>
              <w:spacing w:after="0"/>
            </w:pPr>
            <w:r>
              <w:rPr>
                <w:rFonts w:ascii="Inter" w:hAnsi="Inter"/>
                <w:color w:val="16263D"/>
                <w:sz w:val="17"/>
              </w:rPr>
              <w:t>Pale blue - #EDF3F8</w:t>
            </w:r>
          </w:p>
        </w:tc>
        <w:tc>
          <w:tcPr>
            <w:tcW w:type="dxa" w:w="7056"/>
            <w:tcMar>
              <w:top w:w="90" w:type="dxa"/>
              <w:start w:w="120" w:type="dxa"/>
              <w:bottom w:w="90" w:type="dxa"/>
              <w:end w:w="120" w:type="dxa"/>
            </w:tcMar>
            <w:vAlign w:val="center"/>
          </w:tcPr>
          <w:p>
            <w:pPr>
              <w:spacing w:after="0"/>
            </w:pPr>
            <w:r>
              <w:rPr>
                <w:rFonts w:ascii="Inter" w:hAnsi="Inter"/>
                <w:color w:val="16263D"/>
                <w:sz w:val="17"/>
              </w:rPr>
              <w:t>Subtle highlighted backgrounds, selected panels and informational callouts.</w:t>
            </w:r>
          </w:p>
        </w:tc>
      </w:tr>
      <w:tr>
        <w:tc>
          <w:tcPr>
            <w:tcW w:type="dxa" w:w="792"/>
            <w:tcMar>
              <w:top w:w="90" w:type="dxa"/>
              <w:start w:w="120" w:type="dxa"/>
              <w:bottom w:w="90" w:type="dxa"/>
              <w:end w:w="120" w:type="dxa"/>
            </w:tcMar>
            <w:vAlign w:val="center"/>
            <w:shd w:fill="FFFFFF"/>
          </w:tcPr>
          <w:p>
            <w:pPr>
              <w:spacing w:after="0"/>
            </w:pPr>
          </w:p>
        </w:tc>
        <w:tc>
          <w:tcPr>
            <w:tcW w:type="dxa" w:w="2088"/>
            <w:tcMar>
              <w:top w:w="90" w:type="dxa"/>
              <w:start w:w="120" w:type="dxa"/>
              <w:bottom w:w="90" w:type="dxa"/>
              <w:end w:w="120" w:type="dxa"/>
            </w:tcMar>
            <w:vAlign w:val="center"/>
          </w:tcPr>
          <w:p>
            <w:pPr>
              <w:spacing w:after="0"/>
            </w:pPr>
            <w:r>
              <w:rPr>
                <w:rFonts w:ascii="Inter" w:hAnsi="Inter"/>
                <w:color w:val="16263D"/>
                <w:sz w:val="17"/>
              </w:rPr>
              <w:t>White - #FFFFFF</w:t>
            </w:r>
          </w:p>
        </w:tc>
        <w:tc>
          <w:tcPr>
            <w:tcW w:type="dxa" w:w="7056"/>
            <w:tcMar>
              <w:top w:w="90" w:type="dxa"/>
              <w:start w:w="120" w:type="dxa"/>
              <w:bottom w:w="90" w:type="dxa"/>
              <w:end w:w="120" w:type="dxa"/>
            </w:tcMar>
            <w:vAlign w:val="center"/>
          </w:tcPr>
          <w:p>
            <w:pPr>
              <w:spacing w:after="0"/>
            </w:pPr>
            <w:r>
              <w:rPr>
                <w:rFonts w:ascii="Inter" w:hAnsi="Inter"/>
                <w:color w:val="16263D"/>
                <w:sz w:val="17"/>
              </w:rPr>
              <w:t>Cards and occasional clean contrast surfaces.</w:t>
            </w:r>
          </w:p>
        </w:tc>
      </w:tr>
    </w:tbl>
    <w:p>
      <w:pPr>
        <w:pStyle w:val="Heading1"/>
      </w:pPr>
      <w:r>
        <w:t>6. Layout and spacing</w:t>
      </w:r>
    </w:p>
    <w:p>
      <w:pPr>
        <w:pStyle w:val="Heading2"/>
      </w:pPr>
      <w:r>
        <w:t>Grid</w:t>
      </w:r>
    </w:p>
    <w:p>
      <w:r>
        <w:t>Use a centred max-width container of 1180-1240 px. At desktop, use 12 columns or flexible CSS grid; at tablet and mobile, collapse progressively rather than shrinking components.</w:t>
      </w:r>
    </w:p>
    <w:p>
      <w:pPr>
        <w:pStyle w:val="Heading2"/>
      </w:pPr>
      <w:r>
        <w:t>Gutters</w:t>
      </w:r>
    </w:p>
    <w:p>
      <w:r>
        <w:t>Desktop 32-40 px; tablet 24-32 px; mobile 20 px.</w:t>
      </w:r>
    </w:p>
    <w:p>
      <w:pPr>
        <w:pStyle w:val="Heading2"/>
      </w:pPr>
      <w:r>
        <w:t>Section rhythm</w:t>
      </w:r>
    </w:p>
    <w:p>
      <w:r>
        <w:t>Use 104-144 px vertical padding on desktop, 72-96 px on tablet and 56-72 px on mobile. Major narrative sections should feel distinct.</w:t>
      </w:r>
    </w:p>
    <w:p>
      <w:pPr>
        <w:pStyle w:val="Heading2"/>
      </w:pPr>
      <w:r>
        <w:t>Spacing scale</w:t>
      </w:r>
    </w:p>
    <w:p>
      <w:r>
        <w:t>Use an 8 px base: 8, 16, 24, 32, 48, 64, 96, 128. Small UI gaps may use 4 or 12 px.</w:t>
      </w:r>
    </w:p>
    <w:p>
      <w:pPr>
        <w:pStyle w:val="Heading2"/>
      </w:pPr>
      <w:r>
        <w:t>Alignment</w:t>
      </w:r>
    </w:p>
    <w:p>
      <w:r>
        <w:t>Default to left alignment for explanatory content. Centre only the hero, a singular campaign statement or the final CTA where the composition benefits.</w:t>
      </w:r>
    </w:p>
    <w:p>
      <w:pPr>
        <w:pStyle w:val="Heading2"/>
      </w:pPr>
      <w:r>
        <w:t>Corners</w:t>
      </w:r>
    </w:p>
    <w:p>
      <w:r>
        <w:t>Cards: 16-24 px radius. Buttons: 999 px pill or 12-16 px rounded rectangle, but remain consistent within a page. Small chips/toggles: pill.</w:t>
      </w:r>
    </w:p>
    <w:p>
      <w:pPr>
        <w:pStyle w:val="Heading2"/>
      </w:pPr>
      <w:r>
        <w:t>Borders and shadows</w:t>
      </w:r>
    </w:p>
    <w:p>
      <w:r>
        <w:t>Prefer 1 px borders over shadows. If elevation is essential, use a very soft shadow such as 0 12px 40px rgba(15,31,54,.08).</w:t>
      </w:r>
    </w:p>
    <w:p>
      <w:pPr>
        <w:pStyle w:val="Heading1"/>
      </w:pPr>
      <w:r>
        <w:t>7. Landing-page visual language</w:t>
      </w:r>
    </w:p>
    <w:p>
      <w:pPr>
        <w:pStyle w:val="Heading2"/>
      </w:pPr>
      <w:r>
        <w:t>Narrative</w:t>
      </w:r>
    </w:p>
    <w:p>
      <w:r>
        <w:t>The page should progress from mission, to problem/opportunity, to how Payroll Giving works, to why this scheme, to proof/impact, and finally to founding support tiers and action.</w:t>
      </w:r>
    </w:p>
    <w:p>
      <w:pPr>
        <w:pStyle w:val="Heading2"/>
      </w:pPr>
      <w:r>
        <w:t>Hero device</w:t>
      </w:r>
    </w:p>
    <w:p>
      <w:r>
        <w:t>Use the approved collective-dot animation: 40 small dots arrive in a deliberately varied order over roughly three seconds and form one complete circle. The circle represents many individual contributions combining into collective impact. Accompany it with the label “MISSION:” and the £1m goal. Do not mechanically draw a ring or make every dot arrive in sequence.</w:t>
      </w:r>
    </w:p>
    <w:p>
      <w:pPr>
        <w:pStyle w:val="Heading2"/>
      </w:pPr>
      <w:r>
        <w:t>Diagrams</w:t>
      </w:r>
    </w:p>
    <w:p>
      <w:r>
        <w:t>Use simple geometric forms, arrows and labels with plenty of space. Figures should be visually dominant. Keep explanatory caveats adjacent and legible.</w:t>
      </w:r>
    </w:p>
    <w:p>
      <w:pPr>
        <w:pStyle w:val="Heading2"/>
      </w:pPr>
      <w:r>
        <w:t>Cards</w:t>
      </w:r>
    </w:p>
    <w:p>
      <w:r>
        <w:t>Use clean white or pale-blue surfaces on the warm canvas. Keep borders fine, headings short and content vertically aligned. A highlighted card may use navy or blue, but avoid making every card compete.</w:t>
      </w:r>
    </w:p>
    <w:p>
      <w:pPr>
        <w:pStyle w:val="Heading2"/>
      </w:pPr>
      <w:r>
        <w:t>Section contrast</w:t>
      </w:r>
    </w:p>
    <w:p>
      <w:r>
        <w:t>Alternate primarily between warm cream and deep navy. Use white/pale-blue cards within those surfaces. Avoid frequent colour changes.</w:t>
      </w:r>
    </w:p>
    <w:p>
      <w:pPr>
        <w:pStyle w:val="Heading2"/>
      </w:pPr>
      <w:r>
        <w:t>Photography</w:t>
      </w:r>
    </w:p>
    <w:p>
      <w:r>
        <w:t>Photography is not the default language. If needed, use natural, candid, inclusive UK workplace or community imagery with soft daylight and real environments. Avoid staged cheque handovers, stock-photo handshakes, generic charity tropes and heavily colour-graded images.</w:t>
      </w:r>
    </w:p>
    <w:p>
      <w:pPr>
        <w:pStyle w:val="Heading1"/>
      </w:pPr>
      <w:r>
        <w:t>8. Core components</w:t>
      </w:r>
    </w:p>
    <w:p>
      <w:pPr>
        <w:pStyle w:val="Heading2"/>
      </w:pPr>
      <w:r>
        <w:t>Navigation</w:t>
      </w:r>
    </w:p>
    <w:p>
      <w:r>
        <w:t>Minimal header with PG monogram at left, concise anchor links if useful, and one primary CTA at right. Keep the header light, spacious and unobtrusive.</w:t>
      </w:r>
    </w:p>
    <w:p>
      <w:pPr>
        <w:pStyle w:val="Heading2"/>
      </w:pPr>
      <w:r>
        <w:t>Primary button</w:t>
      </w:r>
    </w:p>
    <w:p>
      <w:r>
        <w:t>Deep navy fill, cream/white label, 48-56 px height, Medium/SemiBold type and generous horizontal padding. Hover: brand blue or a small tonal lift; focus ring must be visible.</w:t>
      </w:r>
    </w:p>
    <w:p>
      <w:pPr>
        <w:pStyle w:val="Heading2"/>
      </w:pPr>
      <w:r>
        <w:t>Secondary button</w:t>
      </w:r>
    </w:p>
    <w:p>
      <w:r>
        <w:t>Transparent or cream fill with a 1 px navy border. Hover may use pale blue.</w:t>
      </w:r>
    </w:p>
    <w:p>
      <w:pPr>
        <w:pStyle w:val="Heading2"/>
      </w:pPr>
      <w:r>
        <w:t>Giving-as toggle</w:t>
      </w:r>
    </w:p>
    <w:p>
      <w:r>
        <w:t>A two-option segmented control labelled “Giving as:” with Business / Individual. Business is selected initially. Switching changes the tier-card content without moving the surrounding layout unexpectedly.</w:t>
      </w:r>
    </w:p>
    <w:p>
      <w:pPr>
        <w:pStyle w:val="Heading2"/>
      </w:pPr>
      <w:r>
        <w:t>Founding cards</w:t>
      </w:r>
    </w:p>
    <w:p>
      <w:r>
        <w:t>Three SaaS-style pricing cards: Founding Supporter (£25+), Founding Member (£100+) and Founding Partner (£500+). Each uses a short benefit list and one clear CTA. Cards change their benefit content according to the Business / Individual toggle.</w:t>
      </w:r>
    </w:p>
    <w:p>
      <w:pPr>
        <w:pStyle w:val="Heading2"/>
      </w:pPr>
      <w:r>
        <w:t>Tax comparison</w:t>
      </w:r>
    </w:p>
    <w:p>
      <w:r>
        <w:t>Use the approved restrained message: “Tax-efficient giving - made simple.” Compare Payroll Giving and post-tax giving without implying a universal financial advantage. Show “£6 donated (post-tax)” where relevant. State that higher-rate relief outside Payroll Giving normally depends on the donor reclaiming it, often through Self Assessment. Keep the note “Excluding fees” where the employer usually covers fees. Avoid “always more” or “up to 66% more” as a blanket claim.</w:t>
      </w:r>
    </w:p>
    <w:p>
      <w:pPr>
        <w:pStyle w:val="Heading2"/>
      </w:pPr>
      <w:r>
        <w:t>Stats</w:t>
      </w:r>
    </w:p>
    <w:p>
      <w:r>
        <w:t>Use one large figure, one short qualifier and a short source/caveat. Do not stack several unrelated numbers into one tile.</w:t>
      </w:r>
    </w:p>
    <w:p>
      <w:pPr>
        <w:pStyle w:val="Heading2"/>
      </w:pPr>
      <w:r>
        <w:t>Footer</w:t>
      </w:r>
    </w:p>
    <w:p>
      <w:r>
        <w:t>Compact and sober: logo/name, charity/company status as applicable, key links, contact and regulatory/privacy links. No oversized marketing footer.</w:t>
      </w:r>
    </w:p>
    <w:p>
      <w:pPr>
        <w:pStyle w:val="Heading1"/>
      </w:pPr>
      <w:r>
        <w:t>9. Motion and interaction</w:t>
      </w:r>
    </w:p>
    <w:p>
      <w:pPr>
        <w:pStyle w:val="Heading2"/>
      </w:pPr>
      <w:r>
        <w:t>Purpose</w:t>
      </w:r>
    </w:p>
    <w:p>
      <w:r>
        <w:t>Motion should explain accumulation, selection, progress or cause-and-effect. It should never be ornamental noise.</w:t>
      </w:r>
    </w:p>
    <w:p>
      <w:pPr>
        <w:pStyle w:val="Heading2"/>
      </w:pPr>
      <w:r>
        <w:t>Timing</w:t>
      </w:r>
    </w:p>
    <w:p>
      <w:r>
        <w:t>Micro-interactions: 160-240 ms. Section reveals: 400-700 ms. Hero collective-dot sequence: approximately 3 seconds.</w:t>
      </w:r>
    </w:p>
    <w:p>
      <w:pPr>
        <w:pStyle w:val="Heading2"/>
      </w:pPr>
      <w:r>
        <w:t>Easing</w:t>
      </w:r>
    </w:p>
    <w:p>
      <w:r>
        <w:t>Use natural ease-out curves such as cubic-bezier(.22,1,.36,1). Avoid elastic bounce.</w:t>
      </w:r>
    </w:p>
    <w:p>
      <w:pPr>
        <w:pStyle w:val="Heading2"/>
      </w:pPr>
      <w:r>
        <w:t>Scroll reveals</w:t>
      </w:r>
    </w:p>
    <w:p>
      <w:r>
        <w:t>Use small opacity and translate changes, typically 12-24 px. Stagger only related items, with 40-90 ms between them.</w:t>
      </w:r>
    </w:p>
    <w:p>
      <w:pPr>
        <w:pStyle w:val="Heading2"/>
      </w:pPr>
      <w:r>
        <w:t>Hover</w:t>
      </w:r>
    </w:p>
    <w:p>
      <w:r>
        <w:t>Use subtle colour, border or 1-2 px lift changes. Never scale cards dramatically.</w:t>
      </w:r>
    </w:p>
    <w:p>
      <w:pPr>
        <w:pStyle w:val="Heading2"/>
      </w:pPr>
      <w:r>
        <w:t>Reduced motion</w:t>
      </w:r>
    </w:p>
    <w:p>
      <w:r>
        <w:t>Respect prefers-reduced-motion. Show the completed circle immediately and remove non-essential reveals while retaining all content and state.</w:t>
      </w:r>
    </w:p>
    <w:p>
      <w:pPr>
        <w:pStyle w:val="Heading1"/>
      </w:pPr>
      <w:r>
        <w:t>10. Voice and messaging</w:t>
      </w:r>
    </w:p>
    <w:p>
      <w:pPr>
        <w:pStyle w:val="Heading2"/>
      </w:pPr>
      <w:r>
        <w:t>Voice</w:t>
      </w:r>
    </w:p>
    <w:p>
      <w:r>
        <w:t>Plain-English, direct, optimistic and evidence-led. Explain the benefit before the mechanism. Sound like a thoughtful operator, not a campaign slogan generator.</w:t>
      </w:r>
    </w:p>
    <w:p>
      <w:pPr>
        <w:pStyle w:val="Heading2"/>
      </w:pPr>
      <w:r>
        <w:t>Sentence style</w:t>
      </w:r>
    </w:p>
    <w:p>
      <w:r>
        <w:t>Use short sentences and sentence case. Prefer “simple, more direct, less admin” to definitive or inflated claims. Use hyphens with spaces - not em dashes.</w:t>
      </w:r>
    </w:p>
    <w:p>
      <w:pPr>
        <w:pStyle w:val="Heading2"/>
      </w:pPr>
      <w:r>
        <w:t>Claims</w:t>
      </w:r>
    </w:p>
    <w:p>
      <w:r>
        <w:t>Qualify tax, Gift Aid, fee and impact claims. Distinguish donor cost, charity receipt and tax relief. Avoid suggesting every donor or charity outcome is identical.</w:t>
      </w:r>
    </w:p>
    <w:p>
      <w:pPr>
        <w:pStyle w:val="Heading2"/>
      </w:pPr>
      <w:r>
        <w:t>Preferred language</w:t>
      </w:r>
    </w:p>
    <w:p>
      <w:r>
        <w:t>Payroll Giving; before tax; through pay; tax-efficient; simple; more direct; less admin; collective impact; additional charitable giving; built for SMEs; founding supporter/member/partner.</w:t>
      </w:r>
    </w:p>
    <w:p>
      <w:pPr>
        <w:pStyle w:val="Heading2"/>
      </w:pPr>
      <w:r>
        <w:t>Avoid</w:t>
      </w:r>
    </w:p>
    <w:p>
      <w:r>
        <w:t>Revolutionary, effortless, guaranteed, always, free money, charities receive 66% more, no fees, zero admin, disrupt, gamify (in public-facing copy unless carefully explained).</w:t>
      </w:r>
    </w:p>
    <w:p>
      <w:pPr>
        <w:pStyle w:val="Heading2"/>
      </w:pPr>
      <w:r>
        <w:t>CTA style</w:t>
      </w:r>
    </w:p>
    <w:p>
      <w:r>
        <w:t>Use specific low-friction verbs: “Support the launch”, “Become a founding member”, “Give as a business”, “See how it works”, “Register your interest”.</w:t>
      </w:r>
    </w:p>
    <w:p>
      <w:pPr>
        <w:pStyle w:val="Heading1"/>
      </w:pPr>
      <w:r>
        <w:t>11. Responsive and accessible behaviour</w:t>
      </w:r>
    </w:p>
    <w:p>
      <w:pPr>
        <w:pStyle w:val="Heading2"/>
      </w:pPr>
      <w:r>
        <w:t>Breakpoints</w:t>
      </w:r>
    </w:p>
    <w:p>
      <w:r>
        <w:t>Design fluidly; typical implementation points are 1200, 992, 768 and 480 px. Do not treat desktop as a scaled-down mobile layout.</w:t>
      </w:r>
    </w:p>
    <w:p>
      <w:pPr>
        <w:pStyle w:val="Heading2"/>
      </w:pPr>
      <w:r>
        <w:t>Mobile order</w:t>
      </w:r>
    </w:p>
    <w:p>
      <w:r>
        <w:t>Preserve the narrative order. Stack comparisons vertically with clear labels; keep the selected tier or toggle state obvious; allow cards to scroll only if all critical details remain discoverable.</w:t>
      </w:r>
    </w:p>
    <w:p>
      <w:pPr>
        <w:pStyle w:val="Heading2"/>
      </w:pPr>
      <w:r>
        <w:t>Tap targets</w:t>
      </w:r>
    </w:p>
    <w:p>
      <w:r>
        <w:t>At least 44 × 44 px. Keep toggles and card CTAs comfortable to use.</w:t>
      </w:r>
    </w:p>
    <w:p>
      <w:pPr>
        <w:pStyle w:val="Heading2"/>
      </w:pPr>
      <w:r>
        <w:t>Contrast</w:t>
      </w:r>
    </w:p>
    <w:p>
      <w:r>
        <w:t>Meet WCAG AA: 4.5:1 for normal text and 3:1 for large text and UI boundaries. Slate/grey should not carry essential small text on cream without testing.</w:t>
      </w:r>
    </w:p>
    <w:p>
      <w:pPr>
        <w:pStyle w:val="Heading2"/>
      </w:pPr>
      <w:r>
        <w:t>Semantics</w:t>
      </w:r>
    </w:p>
    <w:p>
      <w:r>
        <w:t>One H1 per page; logical H2/H3 structure; real buttons for actions and state; labelled form fields; keyboard-operable toggle; meaningful alt text.</w:t>
      </w:r>
    </w:p>
    <w:p>
      <w:pPr>
        <w:pStyle w:val="Heading2"/>
      </w:pPr>
      <w:r>
        <w:t>Animation</w:t>
      </w:r>
    </w:p>
    <w:p>
      <w:r>
        <w:t>No content should depend on animation. Announce state changes where needed, preserve focus and avoid unexpected layout shifts.</w:t>
      </w:r>
    </w:p>
    <w:p>
      <w:pPr>
        <w:pStyle w:val="Heading1"/>
      </w:pPr>
      <w:r>
        <w:t>12. Replication acceptance checklist</w:t>
      </w:r>
    </w:p>
    <w:p>
      <w:pPr>
        <w:pStyle w:val="Heading2"/>
      </w:pPr>
      <w:r>
        <w:t>Identity</w:t>
      </w:r>
    </w:p>
    <w:p>
      <w:r>
        <w:t>Inter is loaded; the PG mark is correctly used; cream/navy/blue are the dominant colours.</w:t>
      </w:r>
    </w:p>
    <w:p>
      <w:pPr>
        <w:pStyle w:val="Heading2"/>
      </w:pPr>
      <w:r>
        <w:t>Composition</w:t>
      </w:r>
    </w:p>
    <w:p>
      <w:r>
        <w:t>The site uses generous whitespace, strong type hierarchy, constrained content width and a clear section rhythm.</w:t>
      </w:r>
    </w:p>
    <w:p>
      <w:pPr>
        <w:pStyle w:val="Heading2"/>
      </w:pPr>
      <w:r>
        <w:t>Components</w:t>
      </w:r>
    </w:p>
    <w:p>
      <w:r>
        <w:t>Buttons, cards, toggles, diagram labels, borders and radii use one coherent system.</w:t>
      </w:r>
    </w:p>
    <w:p>
      <w:pPr>
        <w:pStyle w:val="Heading2"/>
      </w:pPr>
      <w:r>
        <w:t>Hero</w:t>
      </w:r>
    </w:p>
    <w:p>
      <w:r>
        <w:t>Forty small dots form the mission circle in varied order over about three seconds; reduced-motion users see the finished state.</w:t>
      </w:r>
    </w:p>
    <w:p>
      <w:pPr>
        <w:pStyle w:val="Heading2"/>
      </w:pPr>
      <w:r>
        <w:t>Tax content</w:t>
      </w:r>
    </w:p>
    <w:p>
      <w:r>
        <w:t>The comparison is accurate and qualified, shows post-tax wording where relevant, accounts for Gift Aid/Self Assessment nuance and includes the appropriate fee caveat.</w:t>
      </w:r>
    </w:p>
    <w:p>
      <w:pPr>
        <w:pStyle w:val="Heading2"/>
      </w:pPr>
      <w:r>
        <w:t>Tiers</w:t>
      </w:r>
    </w:p>
    <w:p>
      <w:r>
        <w:t>Business is the initial Giving-as state; the three founding tiers and their content switch cleanly between Business and Individual.</w:t>
      </w:r>
    </w:p>
    <w:p>
      <w:pPr>
        <w:pStyle w:val="Heading2"/>
      </w:pPr>
      <w:r>
        <w:t>Tone</w:t>
      </w:r>
    </w:p>
    <w:p>
      <w:r>
        <w:t>Copy is simple, direct and evidence-led, with no overclaiming or unnecessary jargon.</w:t>
      </w:r>
    </w:p>
    <w:p>
      <w:pPr>
        <w:pStyle w:val="Heading2"/>
      </w:pPr>
      <w:r>
        <w:t>Quality</w:t>
      </w:r>
    </w:p>
    <w:p>
      <w:r>
        <w:t>Responsive states are deliberately composed; keyboard and focus behaviour work; contrast meets AA; there is no visual clutter, harsh gradient or gratuitous motion.</w:t>
      </w:r>
    </w:p>
    <w:p>
      <w:pPr>
        <w:pStyle w:val="Heading1"/>
      </w:pPr>
      <w:r>
        <w:t>13. Copy-ready master prompt</w:t>
      </w:r>
    </w:p>
    <w:tbl>
      <w:tblPr>
        <w:tblW w:type="auto" w:w="0"/>
        <w:jc w:val="center"/>
        <w:tblLook w:firstColumn="1" w:firstRow="1" w:lastColumn="0" w:lastRow="0" w:noHBand="0" w:noVBand="1" w:val="04A0"/>
      </w:tblPr>
      <w:tblGrid>
        <w:gridCol w:w="9994"/>
      </w:tblGrid>
      <w:tr>
        <w:tc>
          <w:tcPr>
            <w:tcW w:type="dxa" w:w="9994"/>
            <w:shd w:fill="EDF3F8"/>
            <w:tcMar>
              <w:top w:w="180" w:type="dxa"/>
              <w:start w:w="190" w:type="dxa"/>
              <w:bottom w:w="180" w:type="dxa"/>
              <w:end w:w="190" w:type="dxa"/>
            </w:tcMar>
          </w:tcPr>
          <w:p>
            <w:r>
              <w:rPr>
                <w:rFonts w:ascii="Inter" w:hAnsi="Inter"/>
                <w:color w:val="16263D"/>
                <w:sz w:val="16"/>
              </w:rPr>
              <w:t>Create a responsive website for The Payroll Giving Scheme using this brief as a strict design system, not as loose inspiration. Preserve the exact brand character across every page.</w:t>
              <w:br/>
              <w:br/>
              <w:t>Use Inter throughout. Use #F9F7F0 as the main canvas, #0F1F36 as primary ink/dark background, #1E487B as the accent, #52627A for secondary copy, #D8DDE2 for rules and #EDF3F8 for pale highlights. Build within a centred 1180-1240 px container, using generous section spacing, strong editorial hierarchy, fine borders, 16-24 px card radii and little or no shadow.</w:t>
              <w:br/>
              <w:br/>
              <w:t>The visual language is modern, clear, warm and credible: large concise headings, short paragraphs, simple line-led diagrams, restrained cards and meaningful motion. Do not use generic gradient-heavy SaaS styling, glassmorphism, stock charity imagery, decorative blobs, excessive shadows, cramped layouts or inflated claims.</w:t>
              <w:br/>
              <w:br/>
              <w:t>For the campaign landing page, retain the collective-dot hero: 40 small dots arrive in deliberately varied order over roughly three seconds to form one complete circle, representing individual gifts creating collective impact. Include “MISSION:” and the £1m goal. Respect prefers-reduced-motion by displaying the completed circle immediately.</w:t>
              <w:br/>
              <w:br/>
              <w:t>Include the two-state “Giving as: Business / Individual” segmented toggle, with Business selected initially. Below it use three aligned SaaS-style cards: Founding Supporter (£25+), Founding Member (£100+) and Founding Partner (£500+). Their benefits change by toggle state without destabilising the layout.</w:t>
              <w:br/>
              <w:br/>
              <w:t>Use the line “Tax-efficient giving - made simple.” Treat comparisons between Payroll Giving and post-tax/direct giving carefully. Do not state that Payroll Giving universally sends more to charity. Show “£6 donated (post-tax)” where applicable; explain that higher-rate relief outside Payroll Giving normally depends on the donor reclaiming it, often through Self Assessment; and use “Excluding fees” where appropriate because employers will generally cover fees. Prefer “simple, more direct, less admin” to definitive claims.</w:t>
              <w:br/>
              <w:br/>
              <w:t>Write in plain English, sentence case and short sentences. Use spaced hyphens - not em dashes. Make all interactions keyboard accessible, meet WCAG AA contrast, use at least 44 px tap targets, maintain semantic heading order and build deliberate tablet/mobile compositions rather than merely shrinking the desktop.</w:t>
              <w:br/>
              <w:br/>
              <w:t>Before finishing, audit the result against the full brand brief: typography, palette, spacing, component consistency, motion, responsive behaviour, accessibility, tone and claim accuracy.</w:t>
            </w:r>
          </w:p>
        </w:tc>
      </w:tr>
    </w:tbl>
    <w:p>
      <w:pPr>
        <w:pStyle w:val="Heading1"/>
      </w:pPr>
      <w:r>
        <w:t>Source note</w:t>
      </w:r>
    </w:p>
    <w:p>
      <w:r>
        <w:t>This specification consolidates the original brand assets and pitch-deck system (Inter, warm cream, deep navy and blue) with the final campaign landing-page direction agreed in August 2026. Where the campaign page has refined an older treatment, the current landing-page direction takes precedence.</w:t>
      </w:r>
    </w:p>
    <w:sectPr w:rsidR="00FC693F" w:rsidRPr="0006063C" w:rsidSect="00034616">
      <w:footerReference w:type="default" r:id="rId9"/>
      <w:pgSz w:w="12240" w:h="15840"/>
      <w:pgMar w:top="1037" w:right="1123" w:bottom="1238" w:left="1123"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8E949A"/>
        <w:sz w:val="14"/>
      </w:rPr>
      <w:t>THE PAYROLL GIVING SCHEME  •  DIGITAL BRAND BRIEF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Inter" w:hAnsi="Inter"/>
      <w:color w:val="1626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Inter" w:hAnsi="Inter"/>
      <w:b/>
      <w:bCs/>
      <w:color w:val="0F1F36"/>
      <w:sz w:val="44"/>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Inter" w:hAnsi="Inter"/>
      <w:b/>
      <w:bCs/>
      <w:color w:val="1E487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0F1F36"/>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