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BFAE" w14:textId="338BEBFC" w:rsidR="00C97013" w:rsidRDefault="006A7A0B">
      <w:r>
        <w:t>This is a protocol for transfecting the Qiagen ERE luciferase assays and measuring luciferase activity.</w:t>
      </w:r>
    </w:p>
    <w:p w14:paraId="19E8F532" w14:textId="4F7782AC" w:rsidR="006A7A0B" w:rsidRDefault="005F305A">
      <w:r>
        <w:t>Example Timeline: Friday (start stripping), Monday (plate cells), Tuesday (transfect cells), Wednesday (drug cells), Thursday (read luciferase).</w:t>
      </w:r>
    </w:p>
    <w:p w14:paraId="128D181B" w14:textId="4E42FD0F" w:rsidR="006A7A0B" w:rsidRDefault="006A7A0B" w:rsidP="006A7A0B">
      <w:pPr>
        <w:pStyle w:val="ListParagraph"/>
        <w:numPr>
          <w:ilvl w:val="0"/>
          <w:numId w:val="1"/>
        </w:numPr>
      </w:pPr>
      <w:r w:rsidRPr="006A7A0B">
        <w:rPr>
          <w:b/>
          <w:bCs/>
          <w:u w:val="single"/>
        </w:rPr>
        <w:t>DAY -3</w:t>
      </w:r>
      <w:r>
        <w:t>. 3 days prior to plating cells in 96 well plates, have cells growing in stripped media if needed (most likely needed because ERE luciferase assay tests E2 induction and activity). Typically, I split cells into a T75 with stripped media on the Friday before I plan to do the experiment.</w:t>
      </w:r>
    </w:p>
    <w:p w14:paraId="59DACC7D" w14:textId="3BC7DAE8" w:rsidR="006A7A0B" w:rsidRDefault="006A7A0B" w:rsidP="006A7A0B">
      <w:pPr>
        <w:pStyle w:val="ListParagraph"/>
        <w:numPr>
          <w:ilvl w:val="0"/>
          <w:numId w:val="1"/>
        </w:numPr>
      </w:pPr>
      <w:r w:rsidRPr="006A7A0B">
        <w:rPr>
          <w:b/>
          <w:bCs/>
          <w:u w:val="single"/>
        </w:rPr>
        <w:t>DAY 1</w:t>
      </w:r>
      <w:r>
        <w:t>. Plate cells at 15,000 cells/well in either stripped or regular media (depending on experiment)</w:t>
      </w:r>
      <w:r w:rsidR="007139B4">
        <w:t xml:space="preserve"> in 96 well culture plates</w:t>
      </w:r>
      <w:r>
        <w:t>. Plate cells such that you have them in either duplicate or triplicate (2 or 3 wells each) for each treatment or condition.</w:t>
      </w:r>
      <w:r w:rsidR="001608F1">
        <w:t xml:space="preserve"> </w:t>
      </w:r>
      <w:r w:rsidR="001608F1">
        <w:rPr>
          <w:b/>
          <w:bCs/>
        </w:rPr>
        <w:t xml:space="preserve">There are two controls provided in the Qiagen kit, a positive control and a negative control, plate 2-3 wells or each cell line tested for each of these controls (optionally a third </w:t>
      </w:r>
      <w:proofErr w:type="spellStart"/>
      <w:r w:rsidR="001608F1">
        <w:rPr>
          <w:b/>
          <w:bCs/>
        </w:rPr>
        <w:t>untransfected</w:t>
      </w:r>
      <w:proofErr w:type="spellEnd"/>
      <w:r w:rsidR="001608F1">
        <w:rPr>
          <w:b/>
          <w:bCs/>
        </w:rPr>
        <w:t xml:space="preserve"> control can be done for each cell line as well – again 2-3 wells).</w:t>
      </w:r>
      <w:r>
        <w:t xml:space="preserve"> Allow cells to attach overnight.</w:t>
      </w:r>
    </w:p>
    <w:p w14:paraId="6CBCB054" w14:textId="643A3707" w:rsidR="006A7A0B" w:rsidRDefault="001608F1" w:rsidP="006A7A0B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DAY 2</w:t>
      </w:r>
      <w:r>
        <w:t xml:space="preserve">. Transfect cells with the Qiagen ERE Luciferase Assay DNA using </w:t>
      </w:r>
      <w:proofErr w:type="spellStart"/>
      <w:r>
        <w:t>Fugene</w:t>
      </w:r>
      <w:proofErr w:type="spellEnd"/>
      <w:r>
        <w:t xml:space="preserve"> HD transfection reagent. EC-PDX-023 are more difficult to transfect and requires a 4.5:1 </w:t>
      </w:r>
      <w:proofErr w:type="spellStart"/>
      <w:r>
        <w:t>reagent:DNA</w:t>
      </w:r>
      <w:proofErr w:type="spellEnd"/>
      <w:r>
        <w:t xml:space="preserve"> ratio (use dropdown box on the protocol page) if doing both Ishikawa and EC-PDX-023 the 4.5:1 ratio can be used for both so that you can make a </w:t>
      </w:r>
      <w:proofErr w:type="spellStart"/>
      <w:r>
        <w:t>mastermix</w:t>
      </w:r>
      <w:proofErr w:type="spellEnd"/>
      <w:r>
        <w:t xml:space="preserve"> for all wells of a given transfection rather than having to do them separately for cell line. Allow cells to transfect for 24 hours.</w:t>
      </w:r>
    </w:p>
    <w:p w14:paraId="3628EC6D" w14:textId="6031AF79" w:rsidR="00D01683" w:rsidRDefault="00D01683" w:rsidP="005F305A">
      <w:pPr>
        <w:pStyle w:val="ListParagraph"/>
        <w:numPr>
          <w:ilvl w:val="1"/>
          <w:numId w:val="1"/>
        </w:numPr>
      </w:pPr>
      <w:r>
        <w:t xml:space="preserve">The previously used online calculator is now broken (Promega has taken it offline). Please use Craig’s excel sheet to calculate </w:t>
      </w:r>
      <w:proofErr w:type="spellStart"/>
      <w:r>
        <w:t>fugene</w:t>
      </w:r>
      <w:proofErr w:type="spellEnd"/>
      <w:r>
        <w:t xml:space="preserve"> amounts.</w:t>
      </w:r>
    </w:p>
    <w:p w14:paraId="5348A176" w14:textId="285DEBB9" w:rsidR="005F305A" w:rsidRDefault="005F305A" w:rsidP="005F305A">
      <w:pPr>
        <w:pStyle w:val="ListParagraph"/>
        <w:numPr>
          <w:ilvl w:val="1"/>
          <w:numId w:val="1"/>
        </w:numPr>
      </w:pPr>
      <w:r>
        <w:t>The Qiagen reporter, positive and negative controls are all provided at 100 ng/</w:t>
      </w:r>
      <w:proofErr w:type="spellStart"/>
      <w:r>
        <w:t>uL</w:t>
      </w:r>
      <w:proofErr w:type="spellEnd"/>
      <w:r>
        <w:t xml:space="preserve">. </w:t>
      </w:r>
      <w:r w:rsidR="00D81287">
        <w:t xml:space="preserve">If you are using Craig’s plasmid based ERE or PRE assays, you will need to calculate the amount of </w:t>
      </w:r>
      <w:r w:rsidR="00E74847">
        <w:t xml:space="preserve">plasmid to use (I recommend a starting concentration of 95 ng of ERE/PRE firefly luciferase plasmid with 5 ng of </w:t>
      </w:r>
      <w:r w:rsidR="00696A1A">
        <w:t xml:space="preserve">constitutive </w:t>
      </w:r>
      <w:proofErr w:type="spellStart"/>
      <w:r w:rsidR="00696A1A">
        <w:t>renila</w:t>
      </w:r>
      <w:proofErr w:type="spellEnd"/>
      <w:r w:rsidR="00696A1A">
        <w:t xml:space="preserve"> luciferase per well).</w:t>
      </w:r>
    </w:p>
    <w:p w14:paraId="7AEE1FFE" w14:textId="207EF7FF" w:rsidR="005F305A" w:rsidRDefault="005F305A" w:rsidP="005F305A">
      <w:pPr>
        <w:pStyle w:val="ListParagraph"/>
        <w:numPr>
          <w:ilvl w:val="1"/>
          <w:numId w:val="1"/>
        </w:numPr>
      </w:pPr>
      <w:proofErr w:type="spellStart"/>
      <w:r>
        <w:t>FugeneHD</w:t>
      </w:r>
      <w:proofErr w:type="spellEnd"/>
      <w:r>
        <w:t xml:space="preserve"> protocol uses 100 ng/well of transfection DNA so make sure you have enough Qiagen reporter, positive or negative control DNA. 1 </w:t>
      </w:r>
      <w:proofErr w:type="spellStart"/>
      <w:r>
        <w:t>uL</w:t>
      </w:r>
      <w:proofErr w:type="spellEnd"/>
      <w:r>
        <w:t xml:space="preserve"> per well to be transfected.</w:t>
      </w:r>
      <w:r w:rsidR="00883806">
        <w:t xml:space="preserve"> Or enough of the plasmids for 95 ng of reporter and 5 ng of control per well.</w:t>
      </w:r>
    </w:p>
    <w:p w14:paraId="51069FB3" w14:textId="3BBF5D0D" w:rsidR="001608F1" w:rsidRDefault="001608F1" w:rsidP="006A7A0B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DAY 3</w:t>
      </w:r>
      <w:r>
        <w:t xml:space="preserve">. Change media on cells and start drug treatments. For E2, it is standard to treat at 10 </w:t>
      </w:r>
      <w:proofErr w:type="spellStart"/>
      <w:r>
        <w:t>nM</w:t>
      </w:r>
      <w:proofErr w:type="spellEnd"/>
      <w:r>
        <w:t xml:space="preserve"> for 24 hours before reading.</w:t>
      </w:r>
    </w:p>
    <w:p w14:paraId="2F5782B6" w14:textId="788723C2" w:rsidR="00245CC9" w:rsidRDefault="001608F1" w:rsidP="00245CC9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DAY 4</w:t>
      </w:r>
      <w:r>
        <w:t>. Read luciferase activity 24 hours after treatment start. We use the Promega Dual-Luciferase Reporter Assay</w:t>
      </w:r>
      <w:r w:rsidR="00245CC9">
        <w:t xml:space="preserve"> (1000). Refer to protocol from Promega.</w:t>
      </w:r>
    </w:p>
    <w:p w14:paraId="02CFBC86" w14:textId="4A9BE24D" w:rsidR="00245CC9" w:rsidRDefault="00245CC9" w:rsidP="00245CC9">
      <w:pPr>
        <w:pStyle w:val="ListParagraph"/>
        <w:numPr>
          <w:ilvl w:val="1"/>
          <w:numId w:val="1"/>
        </w:numPr>
      </w:pPr>
      <w:r>
        <w:t>Make sure to thaw reagents to room temperature prior to use. Some of the reagents may already be reconstituted (</w:t>
      </w:r>
      <w:proofErr w:type="gramStart"/>
      <w:r>
        <w:t>i.e.</w:t>
      </w:r>
      <w:proofErr w:type="gramEnd"/>
      <w:r>
        <w:t xml:space="preserve"> person before reconstituted some but did not need all of the vial) but depending on volume you need, you may need to reconstitute additional vials.</w:t>
      </w:r>
    </w:p>
    <w:p w14:paraId="3A7A7C10" w14:textId="6DAD311A" w:rsidR="00245CC9" w:rsidRDefault="00245CC9" w:rsidP="00245CC9">
      <w:pPr>
        <w:pStyle w:val="ListParagraph"/>
        <w:numPr>
          <w:ilvl w:val="1"/>
          <w:numId w:val="1"/>
        </w:numPr>
      </w:pPr>
      <w:r>
        <w:t>Remove plates from incubator, remove media and wash once with PBS, remove PBS.</w:t>
      </w:r>
    </w:p>
    <w:p w14:paraId="2AA893ED" w14:textId="1146558D" w:rsidR="00245CC9" w:rsidRDefault="00245CC9" w:rsidP="00245CC9">
      <w:pPr>
        <w:pStyle w:val="ListParagraph"/>
        <w:numPr>
          <w:ilvl w:val="1"/>
          <w:numId w:val="1"/>
        </w:numPr>
      </w:pPr>
      <w:r>
        <w:lastRenderedPageBreak/>
        <w:t xml:space="preserve">Lyse cells with 1x Passive Lysis Buffer (made from 5x PLB in kit). Lyse with 20-30 </w:t>
      </w:r>
      <w:proofErr w:type="spellStart"/>
      <w:r>
        <w:t>uL</w:t>
      </w:r>
      <w:proofErr w:type="spellEnd"/>
      <w:r>
        <w:t xml:space="preserve"> 1x PLB per well and gently shake/rock on rocker for 15 minutes at room temperature.</w:t>
      </w:r>
    </w:p>
    <w:p w14:paraId="524CCA14" w14:textId="32097B4B" w:rsidR="00245CC9" w:rsidRDefault="00245CC9" w:rsidP="00245CC9">
      <w:pPr>
        <w:pStyle w:val="ListParagraph"/>
        <w:numPr>
          <w:ilvl w:val="1"/>
          <w:numId w:val="1"/>
        </w:numPr>
      </w:pPr>
      <w:r>
        <w:t xml:space="preserve">While cells are lysing, prepare LAR II and </w:t>
      </w:r>
      <w:proofErr w:type="spellStart"/>
      <w:r>
        <w:t>Stop&amp;Glo</w:t>
      </w:r>
      <w:proofErr w:type="spellEnd"/>
      <w:r>
        <w:t xml:space="preserve"> reagents. 100 </w:t>
      </w:r>
      <w:proofErr w:type="spellStart"/>
      <w:r>
        <w:t>uL</w:t>
      </w:r>
      <w:proofErr w:type="spellEnd"/>
      <w:r>
        <w:t xml:space="preserve"> of </w:t>
      </w:r>
      <w:r w:rsidRPr="00245CC9">
        <w:rPr>
          <w:b/>
          <w:bCs/>
          <w:u w:val="single"/>
        </w:rPr>
        <w:t>each</w:t>
      </w:r>
      <w:r>
        <w:t xml:space="preserve"> LAR II and </w:t>
      </w:r>
      <w:proofErr w:type="spellStart"/>
      <w:r>
        <w:t>Stop&amp;Glo</w:t>
      </w:r>
      <w:proofErr w:type="spellEnd"/>
      <w:r>
        <w:t xml:space="preserve"> are needed per well.</w:t>
      </w:r>
    </w:p>
    <w:p w14:paraId="30CBA7F7" w14:textId="0C75DBE5" w:rsidR="00245CC9" w:rsidRDefault="00245CC9" w:rsidP="00245CC9">
      <w:pPr>
        <w:pStyle w:val="ListParagraph"/>
        <w:numPr>
          <w:ilvl w:val="2"/>
          <w:numId w:val="1"/>
        </w:numPr>
      </w:pPr>
      <w:r>
        <w:t xml:space="preserve">LAR II is reconstituted by adding 10 mL of </w:t>
      </w:r>
      <w:r>
        <w:rPr>
          <w:b/>
          <w:bCs/>
        </w:rPr>
        <w:t xml:space="preserve">room temperature </w:t>
      </w:r>
      <w:r>
        <w:t>Luciferase Assay Buffer II to a lyophilized vial of Luciferase Assay Substrate (allow to reconstitute for ~10 min at room temperature).</w:t>
      </w:r>
    </w:p>
    <w:p w14:paraId="2081AA99" w14:textId="7B3A8D21" w:rsidR="00245CC9" w:rsidRDefault="00245CC9" w:rsidP="00245CC9">
      <w:pPr>
        <w:pStyle w:val="ListParagraph"/>
        <w:numPr>
          <w:ilvl w:val="2"/>
          <w:numId w:val="1"/>
        </w:numPr>
      </w:pPr>
      <w:proofErr w:type="spellStart"/>
      <w:r>
        <w:t>Stop&amp;Glo</w:t>
      </w:r>
      <w:proofErr w:type="spellEnd"/>
      <w:r>
        <w:t xml:space="preserve"> reagent should be prepared fresh for each use. The protocol says that the </w:t>
      </w:r>
      <w:proofErr w:type="spellStart"/>
      <w:r>
        <w:t>Stop&amp;Glo</w:t>
      </w:r>
      <w:proofErr w:type="spellEnd"/>
      <w:r>
        <w:t xml:space="preserve"> reagent is 50x but their math is for 51x. I therefore prepare the amount I need based on 51x math. Prepare amount of 1x </w:t>
      </w:r>
      <w:proofErr w:type="spellStart"/>
      <w:r>
        <w:t>Stop&amp;Glo</w:t>
      </w:r>
      <w:proofErr w:type="spellEnd"/>
      <w:r>
        <w:t xml:space="preserve"> reagent by diluting 51x </w:t>
      </w:r>
      <w:proofErr w:type="spellStart"/>
      <w:r>
        <w:t>Stop&amp;Glo</w:t>
      </w:r>
      <w:proofErr w:type="spellEnd"/>
      <w:r>
        <w:t xml:space="preserve"> substrate into </w:t>
      </w:r>
      <w:r w:rsidRPr="00245CC9">
        <w:rPr>
          <w:b/>
          <w:bCs/>
        </w:rPr>
        <w:t>room temperature</w:t>
      </w:r>
      <w:r>
        <w:t xml:space="preserve"> </w:t>
      </w:r>
      <w:proofErr w:type="spellStart"/>
      <w:r>
        <w:t>Stop&amp;Glo</w:t>
      </w:r>
      <w:proofErr w:type="spellEnd"/>
      <w:r>
        <w:t xml:space="preserve"> Buffer.</w:t>
      </w:r>
    </w:p>
    <w:p w14:paraId="22DADD9C" w14:textId="41FCAC15" w:rsidR="00316D82" w:rsidRDefault="00316D82" w:rsidP="00245CC9">
      <w:pPr>
        <w:pStyle w:val="ListParagraph"/>
        <w:numPr>
          <w:ilvl w:val="1"/>
          <w:numId w:val="1"/>
        </w:numPr>
      </w:pPr>
      <w:r>
        <w:t xml:space="preserve">Turn on AYER LAB LUMINOMETER (check with Ayer lab first). Choose </w:t>
      </w:r>
      <w:r w:rsidR="002F7220">
        <w:t xml:space="preserve">luminescence protocol (pre-made protocol) 0.5 second integration time. </w:t>
      </w:r>
      <w:r w:rsidR="002F7220" w:rsidRPr="002F7220">
        <w:rPr>
          <w:b/>
          <w:bCs/>
        </w:rPr>
        <w:t>Activate PMT 10 minutes before reading allowing it to warm up</w:t>
      </w:r>
      <w:r w:rsidR="002F7220">
        <w:t>.</w:t>
      </w:r>
    </w:p>
    <w:p w14:paraId="15626F2F" w14:textId="64EA0582" w:rsidR="00883806" w:rsidRPr="00883806" w:rsidRDefault="00883806" w:rsidP="00883806">
      <w:pPr>
        <w:pStyle w:val="ListParagraph"/>
        <w:numPr>
          <w:ilvl w:val="2"/>
          <w:numId w:val="1"/>
        </w:numPr>
        <w:rPr>
          <w:highlight w:val="yellow"/>
        </w:rPr>
      </w:pPr>
      <w:r w:rsidRPr="00883806">
        <w:rPr>
          <w:highlight w:val="yellow"/>
        </w:rPr>
        <w:t>NOEL – We will likely be using a different luminometer as Kyle is noticing some issues with the Ayer lab machine.</w:t>
      </w:r>
    </w:p>
    <w:p w14:paraId="10451E4E" w14:textId="72D2FA57" w:rsidR="00245CC9" w:rsidRDefault="00245CC9" w:rsidP="00245CC9">
      <w:pPr>
        <w:pStyle w:val="ListParagraph"/>
        <w:numPr>
          <w:ilvl w:val="1"/>
          <w:numId w:val="1"/>
        </w:numPr>
      </w:pPr>
      <w:r>
        <w:t xml:space="preserve">Once lysis is complete, transfer 20 </w:t>
      </w:r>
      <w:proofErr w:type="spellStart"/>
      <w:r>
        <w:t>uL</w:t>
      </w:r>
      <w:proofErr w:type="spellEnd"/>
      <w:r>
        <w:t xml:space="preserve"> of lysate from the 96 well culture dish</w:t>
      </w:r>
      <w:r w:rsidR="007139B4">
        <w:t xml:space="preserve"> to a 96 well white plate. Do this for each well, should be done by </w:t>
      </w:r>
      <w:proofErr w:type="spellStart"/>
      <w:r w:rsidR="007139B4">
        <w:t>multichanneling</w:t>
      </w:r>
      <w:proofErr w:type="spellEnd"/>
      <w:r w:rsidR="007139B4">
        <w:t xml:space="preserve">. </w:t>
      </w:r>
      <w:r w:rsidR="007139B4" w:rsidRPr="007139B4">
        <w:rPr>
          <w:b/>
          <w:bCs/>
        </w:rPr>
        <w:t>All remaining steps done in this white assay plate</w:t>
      </w:r>
      <w:r w:rsidR="007139B4">
        <w:t>.</w:t>
      </w:r>
    </w:p>
    <w:p w14:paraId="25425FFA" w14:textId="6452CEF7" w:rsidR="007139B4" w:rsidRDefault="007139B4" w:rsidP="00245CC9">
      <w:pPr>
        <w:pStyle w:val="ListParagraph"/>
        <w:numPr>
          <w:ilvl w:val="1"/>
          <w:numId w:val="1"/>
        </w:numPr>
      </w:pPr>
      <w:r>
        <w:t xml:space="preserve">Add 100 </w:t>
      </w:r>
      <w:proofErr w:type="spellStart"/>
      <w:r>
        <w:t>uL</w:t>
      </w:r>
      <w:proofErr w:type="spellEnd"/>
      <w:r>
        <w:t xml:space="preserve"> of LAR II solution to each assay well. Read plate using the Ayer lab luminometer </w:t>
      </w:r>
      <w:r w:rsidR="002F7220">
        <w:t>using the premade protocol with 0.5 second integration time</w:t>
      </w:r>
      <w:r>
        <w:t>. Save Read 1 to flash drive, this is the firefly luciferase reading.</w:t>
      </w:r>
    </w:p>
    <w:p w14:paraId="58851634" w14:textId="065AA214" w:rsidR="007139B4" w:rsidRDefault="007139B4" w:rsidP="00245CC9">
      <w:pPr>
        <w:pStyle w:val="ListParagraph"/>
        <w:numPr>
          <w:ilvl w:val="1"/>
          <w:numId w:val="1"/>
        </w:numPr>
      </w:pPr>
      <w:r>
        <w:t xml:space="preserve">Remove plate from reader and add 100 </w:t>
      </w:r>
      <w:proofErr w:type="spellStart"/>
      <w:r>
        <w:t>uL</w:t>
      </w:r>
      <w:proofErr w:type="spellEnd"/>
      <w:r>
        <w:t xml:space="preserve"> of 1x </w:t>
      </w:r>
      <w:proofErr w:type="spellStart"/>
      <w:r>
        <w:t>Stop&amp;Glo</w:t>
      </w:r>
      <w:proofErr w:type="spellEnd"/>
      <w:r>
        <w:t xml:space="preserve"> solution to each assay well. Read </w:t>
      </w:r>
      <w:r w:rsidR="002F7220">
        <w:t>using same premade protocol from above</w:t>
      </w:r>
      <w:r>
        <w:t xml:space="preserve">. Save Read 2 to flash drive, this is the control </w:t>
      </w:r>
      <w:proofErr w:type="spellStart"/>
      <w:r>
        <w:t>Renila</w:t>
      </w:r>
      <w:proofErr w:type="spellEnd"/>
      <w:r>
        <w:t xml:space="preserve"> luciferase reading.</w:t>
      </w:r>
    </w:p>
    <w:p w14:paraId="700D11EF" w14:textId="6EC001CE" w:rsidR="007139B4" w:rsidRDefault="007139B4" w:rsidP="00245CC9">
      <w:pPr>
        <w:pStyle w:val="ListParagraph"/>
        <w:numPr>
          <w:ilvl w:val="1"/>
          <w:numId w:val="1"/>
        </w:numPr>
      </w:pPr>
      <w:r>
        <w:t xml:space="preserve">Luciferase data should first be normalized to </w:t>
      </w:r>
      <w:proofErr w:type="spellStart"/>
      <w:r>
        <w:t>renila</w:t>
      </w:r>
      <w:proofErr w:type="spellEnd"/>
      <w:r>
        <w:t xml:space="preserve"> by taking the Firefly values (read 1) divided by the </w:t>
      </w:r>
      <w:proofErr w:type="spellStart"/>
      <w:r>
        <w:t>Renila</w:t>
      </w:r>
      <w:proofErr w:type="spellEnd"/>
      <w:r>
        <w:t xml:space="preserve"> values (read 2) for each well. Fold changes can then be looked at for treatments, </w:t>
      </w:r>
      <w:proofErr w:type="gramStart"/>
      <w:r>
        <w:t>e.g.</w:t>
      </w:r>
      <w:proofErr w:type="gramEnd"/>
      <w:r>
        <w:t xml:space="preserve"> average of E2 treated wells divided by average of DMSO treated wells with the values being the normalized values (read1/read2).</w:t>
      </w:r>
    </w:p>
    <w:sectPr w:rsidR="007139B4" w:rsidSect="007053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EFBE" w14:textId="77777777" w:rsidR="008628A9" w:rsidRDefault="008628A9" w:rsidP="006A7A0B">
      <w:r>
        <w:separator/>
      </w:r>
    </w:p>
  </w:endnote>
  <w:endnote w:type="continuationSeparator" w:id="0">
    <w:p w14:paraId="78DE8E88" w14:textId="77777777" w:rsidR="008628A9" w:rsidRDefault="008628A9" w:rsidP="006A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9106" w14:textId="77777777" w:rsidR="008628A9" w:rsidRDefault="008628A9" w:rsidP="006A7A0B">
      <w:r>
        <w:separator/>
      </w:r>
    </w:p>
  </w:footnote>
  <w:footnote w:type="continuationSeparator" w:id="0">
    <w:p w14:paraId="797A2227" w14:textId="77777777" w:rsidR="008628A9" w:rsidRDefault="008628A9" w:rsidP="006A7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899D" w14:textId="1030EC11" w:rsidR="006A7A0B" w:rsidRDefault="006A7A0B">
    <w:pPr>
      <w:pStyle w:val="Header"/>
    </w:pPr>
    <w:r>
      <w:t>ERE Luciferase Assay</w:t>
    </w:r>
  </w:p>
  <w:p w14:paraId="3FDD0DDC" w14:textId="42A03C8F" w:rsidR="005F305A" w:rsidRDefault="005F305A">
    <w:pPr>
      <w:pStyle w:val="Header"/>
    </w:pPr>
    <w:r>
      <w:t>Craig Rush 02/03/2021</w:t>
    </w:r>
    <w:r w:rsidR="00696A1A">
      <w:t xml:space="preserve"> edited 03/13/2023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10EA5"/>
    <w:multiLevelType w:val="hybridMultilevel"/>
    <w:tmpl w:val="F6AC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73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0B"/>
    <w:rsid w:val="000472FB"/>
    <w:rsid w:val="000545DC"/>
    <w:rsid w:val="000A6350"/>
    <w:rsid w:val="000B3858"/>
    <w:rsid w:val="000F6782"/>
    <w:rsid w:val="001019D8"/>
    <w:rsid w:val="00104DCC"/>
    <w:rsid w:val="001412F0"/>
    <w:rsid w:val="00150E08"/>
    <w:rsid w:val="001608F1"/>
    <w:rsid w:val="0017027A"/>
    <w:rsid w:val="00187F75"/>
    <w:rsid w:val="00245CC9"/>
    <w:rsid w:val="00247435"/>
    <w:rsid w:val="002F154D"/>
    <w:rsid w:val="002F7220"/>
    <w:rsid w:val="00316D82"/>
    <w:rsid w:val="003F0F91"/>
    <w:rsid w:val="004115C2"/>
    <w:rsid w:val="00423D6A"/>
    <w:rsid w:val="004F13D9"/>
    <w:rsid w:val="00524467"/>
    <w:rsid w:val="00533239"/>
    <w:rsid w:val="00554BA1"/>
    <w:rsid w:val="00556925"/>
    <w:rsid w:val="00573276"/>
    <w:rsid w:val="00573F46"/>
    <w:rsid w:val="00581D9E"/>
    <w:rsid w:val="00584CC8"/>
    <w:rsid w:val="005E05DC"/>
    <w:rsid w:val="005F305A"/>
    <w:rsid w:val="005F7B19"/>
    <w:rsid w:val="00615E54"/>
    <w:rsid w:val="00666795"/>
    <w:rsid w:val="006951B8"/>
    <w:rsid w:val="00696A1A"/>
    <w:rsid w:val="006A7A0B"/>
    <w:rsid w:val="006E7DBC"/>
    <w:rsid w:val="007053B4"/>
    <w:rsid w:val="007139B4"/>
    <w:rsid w:val="00735CF2"/>
    <w:rsid w:val="00783E8E"/>
    <w:rsid w:val="007B09C2"/>
    <w:rsid w:val="007E7E4A"/>
    <w:rsid w:val="00820254"/>
    <w:rsid w:val="008628A9"/>
    <w:rsid w:val="00867585"/>
    <w:rsid w:val="00883806"/>
    <w:rsid w:val="008C4931"/>
    <w:rsid w:val="008C7C3D"/>
    <w:rsid w:val="009B6A4A"/>
    <w:rsid w:val="009D3FC2"/>
    <w:rsid w:val="00A4486C"/>
    <w:rsid w:val="00B12B7C"/>
    <w:rsid w:val="00BC0D14"/>
    <w:rsid w:val="00BE0C1D"/>
    <w:rsid w:val="00C1457F"/>
    <w:rsid w:val="00C26A6B"/>
    <w:rsid w:val="00C40D5C"/>
    <w:rsid w:val="00C65F2F"/>
    <w:rsid w:val="00C7530D"/>
    <w:rsid w:val="00C94096"/>
    <w:rsid w:val="00C95277"/>
    <w:rsid w:val="00C97013"/>
    <w:rsid w:val="00D01683"/>
    <w:rsid w:val="00D12834"/>
    <w:rsid w:val="00D13762"/>
    <w:rsid w:val="00D147E9"/>
    <w:rsid w:val="00D17D03"/>
    <w:rsid w:val="00D41954"/>
    <w:rsid w:val="00D81287"/>
    <w:rsid w:val="00E0619A"/>
    <w:rsid w:val="00E50FFF"/>
    <w:rsid w:val="00E5424D"/>
    <w:rsid w:val="00E74847"/>
    <w:rsid w:val="00EC6590"/>
    <w:rsid w:val="00EC7E8D"/>
    <w:rsid w:val="00F40104"/>
    <w:rsid w:val="00F527A7"/>
    <w:rsid w:val="00FB2D74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99A3C"/>
  <w15:chartTrackingRefBased/>
  <w15:docId w15:val="{CD43D9E1-CEFC-D54F-9C32-86E7C0E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A0B"/>
  </w:style>
  <w:style w:type="paragraph" w:styleId="Footer">
    <w:name w:val="footer"/>
    <w:basedOn w:val="Normal"/>
    <w:link w:val="FooterChar"/>
    <w:uiPriority w:val="99"/>
    <w:unhideWhenUsed/>
    <w:rsid w:val="006A7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A0B"/>
  </w:style>
  <w:style w:type="paragraph" w:styleId="ListParagraph">
    <w:name w:val="List Paragraph"/>
    <w:basedOn w:val="Normal"/>
    <w:uiPriority w:val="34"/>
    <w:qFormat/>
    <w:rsid w:val="006A7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Rush</dc:creator>
  <cp:keywords/>
  <dc:description/>
  <cp:lastModifiedBy>Craig Rush</cp:lastModifiedBy>
  <cp:revision>8</cp:revision>
  <cp:lastPrinted>2021-02-03T19:59:00Z</cp:lastPrinted>
  <dcterms:created xsi:type="dcterms:W3CDTF">2021-02-03T19:19:00Z</dcterms:created>
  <dcterms:modified xsi:type="dcterms:W3CDTF">2023-03-13T16:51:00Z</dcterms:modified>
</cp:coreProperties>
</file>