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BE5E" w14:textId="7E4AABB9" w:rsidR="004E3ABC" w:rsidRDefault="00000000">
      <w:r>
        <w:rPr>
          <w:rFonts w:ascii="Fraunces" w:hAnsi="Fraunces"/>
          <w:b/>
          <w:color w:val="330044"/>
          <w:sz w:val="44"/>
        </w:rPr>
        <w:t>2 Day PC Video Quick Reference</w:t>
      </w:r>
    </w:p>
    <w:p w14:paraId="43200426" w14:textId="77777777" w:rsidR="004E3ABC" w:rsidRDefault="00000000">
      <w:r>
        <w:rPr>
          <w:rFonts w:ascii="Fraunces" w:hAnsi="Fraunces"/>
          <w:b/>
          <w:color w:val="712D90"/>
          <w:sz w:val="30"/>
        </w:rPr>
        <w:t>Session 1: Welcome and Introductions</w:t>
      </w:r>
    </w:p>
    <w:tbl>
      <w:tblPr>
        <w:tblStyle w:val="TableGrid"/>
        <w:tblW w:w="0" w:type="auto"/>
        <w:jc w:val="center"/>
        <w:tblLayout w:type="fixed"/>
        <w:tblLook w:val="04A0" w:firstRow="1" w:lastRow="0" w:firstColumn="1" w:lastColumn="0" w:noHBand="0" w:noVBand="1"/>
      </w:tblPr>
      <w:tblGrid>
        <w:gridCol w:w="2880"/>
        <w:gridCol w:w="1440"/>
        <w:gridCol w:w="1440"/>
        <w:gridCol w:w="4320"/>
        <w:gridCol w:w="5040"/>
      </w:tblGrid>
      <w:tr w:rsidR="004E3ABC" w14:paraId="78927B24" w14:textId="77777777">
        <w:trPr>
          <w:jc w:val="center"/>
        </w:trPr>
        <w:tc>
          <w:tcPr>
            <w:tcW w:w="2880" w:type="dxa"/>
            <w:shd w:val="clear" w:color="auto" w:fill="E9DDF2"/>
          </w:tcPr>
          <w:p w14:paraId="3E4C0424" w14:textId="77777777" w:rsidR="004E3ABC" w:rsidRDefault="00000000">
            <w:r>
              <w:rPr>
                <w:rFonts w:ascii="Manrope" w:hAnsi="Manrope"/>
                <w:b/>
                <w:sz w:val="20"/>
              </w:rPr>
              <w:t>Video Name</w:t>
            </w:r>
          </w:p>
        </w:tc>
        <w:tc>
          <w:tcPr>
            <w:tcW w:w="1440" w:type="dxa"/>
            <w:shd w:val="clear" w:color="auto" w:fill="E9DDF2"/>
          </w:tcPr>
          <w:p w14:paraId="0547A6DC" w14:textId="77777777" w:rsidR="004E3ABC" w:rsidRDefault="00000000">
            <w:r>
              <w:rPr>
                <w:rFonts w:ascii="Manrope" w:hAnsi="Manrope"/>
                <w:b/>
                <w:sz w:val="20"/>
              </w:rPr>
              <w:t>Slide Number</w:t>
            </w:r>
          </w:p>
        </w:tc>
        <w:tc>
          <w:tcPr>
            <w:tcW w:w="1440" w:type="dxa"/>
            <w:shd w:val="clear" w:color="auto" w:fill="E9DDF2"/>
          </w:tcPr>
          <w:p w14:paraId="28D8E7DE" w14:textId="77777777" w:rsidR="004E3ABC" w:rsidRDefault="00000000">
            <w:r>
              <w:rPr>
                <w:rFonts w:ascii="Manrope" w:hAnsi="Manrope"/>
                <w:b/>
                <w:sz w:val="20"/>
              </w:rPr>
              <w:t>Duration</w:t>
            </w:r>
          </w:p>
        </w:tc>
        <w:tc>
          <w:tcPr>
            <w:tcW w:w="4320" w:type="dxa"/>
            <w:shd w:val="clear" w:color="auto" w:fill="E9DDF2"/>
          </w:tcPr>
          <w:p w14:paraId="2443EDFE" w14:textId="77777777" w:rsidR="004E3ABC" w:rsidRDefault="00000000">
            <w:r>
              <w:rPr>
                <w:rFonts w:ascii="Manrope" w:hAnsi="Manrope"/>
                <w:b/>
                <w:sz w:val="20"/>
              </w:rPr>
              <w:t>Summary</w:t>
            </w:r>
          </w:p>
        </w:tc>
        <w:tc>
          <w:tcPr>
            <w:tcW w:w="5040" w:type="dxa"/>
            <w:shd w:val="clear" w:color="auto" w:fill="E9DDF2"/>
          </w:tcPr>
          <w:p w14:paraId="5D0DE18B" w14:textId="77777777" w:rsidR="004E3ABC" w:rsidRDefault="00000000">
            <w:r>
              <w:rPr>
                <w:rFonts w:ascii="Manrope" w:hAnsi="Manrope"/>
                <w:b/>
                <w:sz w:val="20"/>
              </w:rPr>
              <w:t>Key Concepts</w:t>
            </w:r>
          </w:p>
        </w:tc>
      </w:tr>
      <w:tr w:rsidR="004E3ABC" w14:paraId="173FDCE1" w14:textId="77777777">
        <w:trPr>
          <w:jc w:val="center"/>
        </w:trPr>
        <w:tc>
          <w:tcPr>
            <w:tcW w:w="2880" w:type="dxa"/>
          </w:tcPr>
          <w:p w14:paraId="268B18A1" w14:textId="77777777" w:rsidR="004E3ABC" w:rsidRDefault="00000000">
            <w:r>
              <w:rPr>
                <w:rFonts w:ascii="Manrope" w:hAnsi="Manrope"/>
                <w:sz w:val="20"/>
              </w:rPr>
              <w:t>Language and Autism</w:t>
            </w:r>
          </w:p>
        </w:tc>
        <w:tc>
          <w:tcPr>
            <w:tcW w:w="1440" w:type="dxa"/>
          </w:tcPr>
          <w:p w14:paraId="413C9867" w14:textId="77777777" w:rsidR="004E3ABC" w:rsidRDefault="00000000">
            <w:r>
              <w:rPr>
                <w:rFonts w:ascii="Manrope" w:hAnsi="Manrope"/>
                <w:sz w:val="20"/>
              </w:rPr>
              <w:t>11</w:t>
            </w:r>
          </w:p>
        </w:tc>
        <w:tc>
          <w:tcPr>
            <w:tcW w:w="1440" w:type="dxa"/>
          </w:tcPr>
          <w:p w14:paraId="4CAF7EEF" w14:textId="77777777" w:rsidR="004E3ABC" w:rsidRDefault="00000000">
            <w:r>
              <w:rPr>
                <w:rFonts w:ascii="Manrope" w:hAnsi="Manrope"/>
                <w:sz w:val="20"/>
              </w:rPr>
              <w:t>3:45</w:t>
            </w:r>
          </w:p>
        </w:tc>
        <w:tc>
          <w:tcPr>
            <w:tcW w:w="4320" w:type="dxa"/>
          </w:tcPr>
          <w:p w14:paraId="03A576A9" w14:textId="77777777" w:rsidR="004E3ABC" w:rsidRDefault="00000000">
            <w:r>
              <w:rPr>
                <w:rFonts w:ascii="Manrope" w:hAnsi="Manrope"/>
                <w:sz w:val="20"/>
              </w:rPr>
              <w:t>Thomas Kuzma reflects on the language autistic people use to describe themselves and why identity-first versus person-first language matters.</w:t>
            </w:r>
          </w:p>
        </w:tc>
        <w:tc>
          <w:tcPr>
            <w:tcW w:w="5040" w:type="dxa"/>
          </w:tcPr>
          <w:p w14:paraId="7DC5F115" w14:textId="77777777" w:rsidR="004E3ABC" w:rsidRDefault="00000000">
            <w:pPr>
              <w:pStyle w:val="ListBullet"/>
            </w:pPr>
            <w:r>
              <w:rPr>
                <w:rFonts w:ascii="Manrope" w:hAnsi="Manrope"/>
                <w:sz w:val="20"/>
              </w:rPr>
              <w:t>Explores how language shapes identity, dignity, and self-understanding.</w:t>
            </w:r>
          </w:p>
          <w:p w14:paraId="2DBE9B9B" w14:textId="77777777" w:rsidR="004E3ABC" w:rsidRDefault="00000000">
            <w:pPr>
              <w:pStyle w:val="ListBullet"/>
            </w:pPr>
            <w:r>
              <w:rPr>
                <w:rFonts w:ascii="Manrope" w:hAnsi="Manrope"/>
                <w:sz w:val="20"/>
              </w:rPr>
              <w:t>Contrasts identity-first language (e.g. 'autistic person') and person-first language (e.g. 'person with autism') from an autistic perspective.</w:t>
            </w:r>
          </w:p>
          <w:p w14:paraId="04644F38" w14:textId="77777777" w:rsidR="004E3ABC" w:rsidRDefault="00000000">
            <w:pPr>
              <w:pStyle w:val="ListBullet"/>
            </w:pPr>
            <w:r>
              <w:rPr>
                <w:rFonts w:ascii="Manrope" w:hAnsi="Manrope"/>
                <w:sz w:val="20"/>
              </w:rPr>
              <w:t>Encourages listening to individual preference rather than assuming one correct term for everyone.</w:t>
            </w:r>
          </w:p>
        </w:tc>
      </w:tr>
      <w:tr w:rsidR="004E3ABC" w14:paraId="4761AF24" w14:textId="77777777">
        <w:trPr>
          <w:jc w:val="center"/>
        </w:trPr>
        <w:tc>
          <w:tcPr>
            <w:tcW w:w="2880" w:type="dxa"/>
          </w:tcPr>
          <w:p w14:paraId="08096CCC" w14:textId="77777777" w:rsidR="004E3ABC" w:rsidRDefault="00000000">
            <w:r>
              <w:rPr>
                <w:rFonts w:ascii="Manrope" w:hAnsi="Manrope"/>
                <w:sz w:val="20"/>
              </w:rPr>
              <w:t>Having a say</w:t>
            </w:r>
          </w:p>
        </w:tc>
        <w:tc>
          <w:tcPr>
            <w:tcW w:w="1440" w:type="dxa"/>
          </w:tcPr>
          <w:p w14:paraId="6C9F8567" w14:textId="77777777" w:rsidR="004E3ABC" w:rsidRDefault="00000000">
            <w:r>
              <w:rPr>
                <w:rFonts w:ascii="Manrope" w:hAnsi="Manrope"/>
                <w:sz w:val="20"/>
              </w:rPr>
              <w:t>14</w:t>
            </w:r>
          </w:p>
        </w:tc>
        <w:tc>
          <w:tcPr>
            <w:tcW w:w="1440" w:type="dxa"/>
          </w:tcPr>
          <w:p w14:paraId="3ECDC292" w14:textId="77777777" w:rsidR="004E3ABC" w:rsidRDefault="00000000">
            <w:r>
              <w:rPr>
                <w:rFonts w:ascii="Manrope" w:hAnsi="Manrope"/>
                <w:sz w:val="20"/>
              </w:rPr>
              <w:t>3:14</w:t>
            </w:r>
          </w:p>
        </w:tc>
        <w:tc>
          <w:tcPr>
            <w:tcW w:w="4320" w:type="dxa"/>
          </w:tcPr>
          <w:p w14:paraId="76AE2225" w14:textId="77777777" w:rsidR="004E3ABC" w:rsidRDefault="00000000">
            <w:r>
              <w:rPr>
                <w:rFonts w:ascii="Manrope" w:hAnsi="Manrope"/>
                <w:sz w:val="20"/>
              </w:rPr>
              <w:t>This clip focuses on student voice and the importance of understanding how autistic young people communicate what helps them learn best.</w:t>
            </w:r>
          </w:p>
        </w:tc>
        <w:tc>
          <w:tcPr>
            <w:tcW w:w="5040" w:type="dxa"/>
          </w:tcPr>
          <w:p w14:paraId="1160CDBF" w14:textId="77777777" w:rsidR="004E3ABC" w:rsidRDefault="00000000">
            <w:pPr>
              <w:pStyle w:val="ListBullet"/>
            </w:pPr>
            <w:r>
              <w:rPr>
                <w:rFonts w:ascii="Manrope" w:hAnsi="Manrope"/>
                <w:sz w:val="20"/>
              </w:rPr>
              <w:t>Centres the young person as an active contributor to learning decisions.</w:t>
            </w:r>
          </w:p>
          <w:p w14:paraId="49C1C5DE" w14:textId="77777777" w:rsidR="004E3ABC" w:rsidRDefault="00000000">
            <w:pPr>
              <w:pStyle w:val="ListBullet"/>
            </w:pPr>
            <w:r>
              <w:rPr>
                <w:rFonts w:ascii="Manrope" w:hAnsi="Manrope"/>
                <w:sz w:val="20"/>
              </w:rPr>
              <w:t>Highlights the value of asking how a student learns rather than making assumptions.</w:t>
            </w:r>
          </w:p>
          <w:p w14:paraId="29D0B94E" w14:textId="77777777" w:rsidR="004E3ABC" w:rsidRDefault="00000000">
            <w:pPr>
              <w:pStyle w:val="ListBullet"/>
            </w:pPr>
            <w:r>
              <w:rPr>
                <w:rFonts w:ascii="Manrope" w:hAnsi="Manrope"/>
                <w:sz w:val="20"/>
              </w:rPr>
              <w:t>Supports stronger collaboration between families, students, and educators.</w:t>
            </w:r>
          </w:p>
        </w:tc>
      </w:tr>
    </w:tbl>
    <w:p w14:paraId="0988CEB3" w14:textId="77777777" w:rsidR="004E3ABC" w:rsidRDefault="004E3ABC"/>
    <w:p w14:paraId="606E5B9A" w14:textId="77777777" w:rsidR="004E3ABC" w:rsidRDefault="00000000">
      <w:r>
        <w:rPr>
          <w:rFonts w:ascii="Fraunces" w:hAnsi="Fraunces"/>
          <w:b/>
          <w:color w:val="712D90"/>
          <w:sz w:val="30"/>
        </w:rPr>
        <w:t>Session 2: Diversity of autism</w:t>
      </w:r>
    </w:p>
    <w:tbl>
      <w:tblPr>
        <w:tblStyle w:val="TableGrid"/>
        <w:tblW w:w="0" w:type="auto"/>
        <w:jc w:val="center"/>
        <w:tblLayout w:type="fixed"/>
        <w:tblLook w:val="04A0" w:firstRow="1" w:lastRow="0" w:firstColumn="1" w:lastColumn="0" w:noHBand="0" w:noVBand="1"/>
      </w:tblPr>
      <w:tblGrid>
        <w:gridCol w:w="2880"/>
        <w:gridCol w:w="1440"/>
        <w:gridCol w:w="1440"/>
        <w:gridCol w:w="4320"/>
        <w:gridCol w:w="5040"/>
      </w:tblGrid>
      <w:tr w:rsidR="004E3ABC" w14:paraId="57CEDEFD" w14:textId="77777777">
        <w:trPr>
          <w:jc w:val="center"/>
        </w:trPr>
        <w:tc>
          <w:tcPr>
            <w:tcW w:w="2880" w:type="dxa"/>
            <w:shd w:val="clear" w:color="auto" w:fill="E9DDF2"/>
          </w:tcPr>
          <w:p w14:paraId="04BD1417" w14:textId="77777777" w:rsidR="004E3ABC" w:rsidRDefault="00000000">
            <w:r>
              <w:rPr>
                <w:rFonts w:ascii="Manrope" w:hAnsi="Manrope"/>
                <w:b/>
                <w:sz w:val="20"/>
              </w:rPr>
              <w:t>Video Name</w:t>
            </w:r>
          </w:p>
        </w:tc>
        <w:tc>
          <w:tcPr>
            <w:tcW w:w="1440" w:type="dxa"/>
            <w:shd w:val="clear" w:color="auto" w:fill="E9DDF2"/>
          </w:tcPr>
          <w:p w14:paraId="64B87478" w14:textId="77777777" w:rsidR="004E3ABC" w:rsidRDefault="00000000">
            <w:r>
              <w:rPr>
                <w:rFonts w:ascii="Manrope" w:hAnsi="Manrope"/>
                <w:b/>
                <w:sz w:val="20"/>
              </w:rPr>
              <w:t>Slide Number</w:t>
            </w:r>
          </w:p>
        </w:tc>
        <w:tc>
          <w:tcPr>
            <w:tcW w:w="1440" w:type="dxa"/>
            <w:shd w:val="clear" w:color="auto" w:fill="E9DDF2"/>
          </w:tcPr>
          <w:p w14:paraId="13590FB1" w14:textId="77777777" w:rsidR="004E3ABC" w:rsidRDefault="00000000">
            <w:r>
              <w:rPr>
                <w:rFonts w:ascii="Manrope" w:hAnsi="Manrope"/>
                <w:b/>
                <w:sz w:val="20"/>
              </w:rPr>
              <w:t>Duration</w:t>
            </w:r>
          </w:p>
        </w:tc>
        <w:tc>
          <w:tcPr>
            <w:tcW w:w="4320" w:type="dxa"/>
            <w:shd w:val="clear" w:color="auto" w:fill="E9DDF2"/>
          </w:tcPr>
          <w:p w14:paraId="5ABBA296" w14:textId="77777777" w:rsidR="004E3ABC" w:rsidRDefault="00000000">
            <w:r>
              <w:rPr>
                <w:rFonts w:ascii="Manrope" w:hAnsi="Manrope"/>
                <w:b/>
                <w:sz w:val="20"/>
              </w:rPr>
              <w:t>Summary</w:t>
            </w:r>
          </w:p>
        </w:tc>
        <w:tc>
          <w:tcPr>
            <w:tcW w:w="5040" w:type="dxa"/>
            <w:shd w:val="clear" w:color="auto" w:fill="E9DDF2"/>
          </w:tcPr>
          <w:p w14:paraId="6B59318D" w14:textId="77777777" w:rsidR="004E3ABC" w:rsidRDefault="00000000">
            <w:r>
              <w:rPr>
                <w:rFonts w:ascii="Manrope" w:hAnsi="Manrope"/>
                <w:b/>
                <w:sz w:val="20"/>
              </w:rPr>
              <w:t>Key Concepts</w:t>
            </w:r>
          </w:p>
        </w:tc>
      </w:tr>
      <w:tr w:rsidR="004E3ABC" w14:paraId="75D4DB6F" w14:textId="77777777">
        <w:trPr>
          <w:jc w:val="center"/>
        </w:trPr>
        <w:tc>
          <w:tcPr>
            <w:tcW w:w="2880" w:type="dxa"/>
          </w:tcPr>
          <w:p w14:paraId="364D77FD" w14:textId="77777777" w:rsidR="004E3ABC" w:rsidRDefault="00000000">
            <w:r>
              <w:rPr>
                <w:rFonts w:ascii="Manrope" w:hAnsi="Manrope"/>
                <w:sz w:val="20"/>
              </w:rPr>
              <w:t>Strengths and interests</w:t>
            </w:r>
          </w:p>
        </w:tc>
        <w:tc>
          <w:tcPr>
            <w:tcW w:w="1440" w:type="dxa"/>
          </w:tcPr>
          <w:p w14:paraId="5500E3D9" w14:textId="77777777" w:rsidR="004E3ABC" w:rsidRDefault="00000000">
            <w:r>
              <w:rPr>
                <w:rFonts w:ascii="Manrope" w:hAnsi="Manrope"/>
                <w:sz w:val="20"/>
              </w:rPr>
              <w:t>12</w:t>
            </w:r>
          </w:p>
        </w:tc>
        <w:tc>
          <w:tcPr>
            <w:tcW w:w="1440" w:type="dxa"/>
          </w:tcPr>
          <w:p w14:paraId="1E31EBDA" w14:textId="77777777" w:rsidR="004E3ABC" w:rsidRDefault="00000000">
            <w:r>
              <w:rPr>
                <w:rFonts w:ascii="Manrope" w:hAnsi="Manrope"/>
                <w:sz w:val="20"/>
              </w:rPr>
              <w:t>1:36</w:t>
            </w:r>
          </w:p>
        </w:tc>
        <w:tc>
          <w:tcPr>
            <w:tcW w:w="4320" w:type="dxa"/>
          </w:tcPr>
          <w:p w14:paraId="7C31D2DF" w14:textId="77777777" w:rsidR="004E3ABC" w:rsidRDefault="00000000">
            <w:r>
              <w:rPr>
                <w:rFonts w:ascii="Manrope" w:hAnsi="Manrope"/>
                <w:sz w:val="20"/>
              </w:rPr>
              <w:t>Young people and families talk about strengths and interests as meaningful parts of identity, wellbeing, and engagement in daily life.</w:t>
            </w:r>
          </w:p>
        </w:tc>
        <w:tc>
          <w:tcPr>
            <w:tcW w:w="5040" w:type="dxa"/>
          </w:tcPr>
          <w:p w14:paraId="1E73BC8F" w14:textId="77777777" w:rsidR="004E3ABC" w:rsidRDefault="00000000">
            <w:pPr>
              <w:pStyle w:val="ListBullet"/>
            </w:pPr>
            <w:r>
              <w:rPr>
                <w:rFonts w:ascii="Manrope" w:hAnsi="Manrope"/>
                <w:sz w:val="20"/>
              </w:rPr>
              <w:t>Moves the conversation away from deficits and toward strengths.</w:t>
            </w:r>
          </w:p>
          <w:p w14:paraId="5915840D" w14:textId="77777777" w:rsidR="004E3ABC" w:rsidRDefault="00000000">
            <w:pPr>
              <w:pStyle w:val="ListBullet"/>
            </w:pPr>
            <w:r>
              <w:rPr>
                <w:rFonts w:ascii="Manrope" w:hAnsi="Manrope"/>
                <w:sz w:val="20"/>
              </w:rPr>
              <w:t>Shows how interests can support confidence, belonging, and learning.</w:t>
            </w:r>
          </w:p>
          <w:p w14:paraId="2977D937" w14:textId="77777777" w:rsidR="004E3ABC" w:rsidRDefault="00000000">
            <w:pPr>
              <w:pStyle w:val="ListBullet"/>
            </w:pPr>
            <w:r>
              <w:rPr>
                <w:rFonts w:ascii="Manrope" w:hAnsi="Manrope"/>
                <w:sz w:val="20"/>
              </w:rPr>
              <w:t>Reinforces that strengths may look different across individuals and contexts.</w:t>
            </w:r>
          </w:p>
        </w:tc>
      </w:tr>
      <w:tr w:rsidR="004E3ABC" w14:paraId="5278F525" w14:textId="77777777">
        <w:trPr>
          <w:jc w:val="center"/>
        </w:trPr>
        <w:tc>
          <w:tcPr>
            <w:tcW w:w="2880" w:type="dxa"/>
          </w:tcPr>
          <w:p w14:paraId="01F323F8" w14:textId="77777777" w:rsidR="004E3ABC" w:rsidRDefault="00000000">
            <w:r>
              <w:rPr>
                <w:rFonts w:ascii="Manrope" w:hAnsi="Manrope"/>
                <w:sz w:val="20"/>
              </w:rPr>
              <w:t>Strengths and Interests (High School)</w:t>
            </w:r>
          </w:p>
        </w:tc>
        <w:tc>
          <w:tcPr>
            <w:tcW w:w="1440" w:type="dxa"/>
          </w:tcPr>
          <w:p w14:paraId="67B7911F" w14:textId="77777777" w:rsidR="004E3ABC" w:rsidRDefault="00000000">
            <w:r>
              <w:rPr>
                <w:rFonts w:ascii="Manrope" w:hAnsi="Manrope"/>
                <w:sz w:val="20"/>
              </w:rPr>
              <w:t>13</w:t>
            </w:r>
          </w:p>
        </w:tc>
        <w:tc>
          <w:tcPr>
            <w:tcW w:w="1440" w:type="dxa"/>
          </w:tcPr>
          <w:p w14:paraId="08473CAA" w14:textId="77777777" w:rsidR="004E3ABC" w:rsidRDefault="00000000">
            <w:r>
              <w:rPr>
                <w:rFonts w:ascii="Manrope" w:hAnsi="Manrope"/>
                <w:sz w:val="20"/>
              </w:rPr>
              <w:t>0:52</w:t>
            </w:r>
          </w:p>
        </w:tc>
        <w:tc>
          <w:tcPr>
            <w:tcW w:w="4320" w:type="dxa"/>
          </w:tcPr>
          <w:p w14:paraId="2FEF0D8A" w14:textId="77777777" w:rsidR="004E3ABC" w:rsidRDefault="00000000">
            <w:r>
              <w:rPr>
                <w:rFonts w:ascii="Manrope" w:hAnsi="Manrope"/>
                <w:sz w:val="20"/>
              </w:rPr>
              <w:t>Sam reflects on strengths and interests in a high school context, showing how they can shape motivation, identity, and school experiences.</w:t>
            </w:r>
          </w:p>
        </w:tc>
        <w:tc>
          <w:tcPr>
            <w:tcW w:w="5040" w:type="dxa"/>
          </w:tcPr>
          <w:p w14:paraId="00E7416D" w14:textId="77777777" w:rsidR="004E3ABC" w:rsidRDefault="00000000">
            <w:pPr>
              <w:pStyle w:val="ListBullet"/>
            </w:pPr>
            <w:r>
              <w:rPr>
                <w:rFonts w:ascii="Manrope" w:hAnsi="Manrope"/>
                <w:sz w:val="20"/>
              </w:rPr>
              <w:t>Connects strengths and interests to secondary school engagement.</w:t>
            </w:r>
          </w:p>
          <w:p w14:paraId="42C5A15A" w14:textId="77777777" w:rsidR="004E3ABC" w:rsidRDefault="00000000">
            <w:pPr>
              <w:pStyle w:val="ListBullet"/>
            </w:pPr>
            <w:r>
              <w:rPr>
                <w:rFonts w:ascii="Manrope" w:hAnsi="Manrope"/>
                <w:sz w:val="20"/>
              </w:rPr>
              <w:t>Shows how interests can be misunderstood if adults focus only on compliance or curriculum.</w:t>
            </w:r>
          </w:p>
          <w:p w14:paraId="32CBE0B9" w14:textId="77777777" w:rsidR="004E3ABC" w:rsidRDefault="00000000">
            <w:pPr>
              <w:pStyle w:val="ListBullet"/>
            </w:pPr>
            <w:r>
              <w:rPr>
                <w:rFonts w:ascii="Manrope" w:hAnsi="Manrope"/>
                <w:sz w:val="20"/>
              </w:rPr>
              <w:t>Encourages a more respectful, strengths-based response to adolescent identity and motivation.</w:t>
            </w:r>
          </w:p>
        </w:tc>
      </w:tr>
      <w:tr w:rsidR="004E3ABC" w14:paraId="7682E14F" w14:textId="77777777">
        <w:trPr>
          <w:jc w:val="center"/>
        </w:trPr>
        <w:tc>
          <w:tcPr>
            <w:tcW w:w="2880" w:type="dxa"/>
          </w:tcPr>
          <w:p w14:paraId="0561616A" w14:textId="77777777" w:rsidR="004E3ABC" w:rsidRDefault="00000000">
            <w:r>
              <w:rPr>
                <w:rFonts w:ascii="Manrope" w:hAnsi="Manrope"/>
                <w:sz w:val="20"/>
              </w:rPr>
              <w:t xml:space="preserve">Connections to culture and </w:t>
            </w:r>
            <w:r>
              <w:rPr>
                <w:rFonts w:ascii="Manrope" w:hAnsi="Manrope"/>
                <w:sz w:val="20"/>
              </w:rPr>
              <w:lastRenderedPageBreak/>
              <w:t>community</w:t>
            </w:r>
          </w:p>
        </w:tc>
        <w:tc>
          <w:tcPr>
            <w:tcW w:w="1440" w:type="dxa"/>
          </w:tcPr>
          <w:p w14:paraId="03E2D23D" w14:textId="77777777" w:rsidR="004E3ABC" w:rsidRDefault="00000000">
            <w:r>
              <w:rPr>
                <w:rFonts w:ascii="Manrope" w:hAnsi="Manrope"/>
                <w:sz w:val="20"/>
              </w:rPr>
              <w:lastRenderedPageBreak/>
              <w:t>17</w:t>
            </w:r>
          </w:p>
        </w:tc>
        <w:tc>
          <w:tcPr>
            <w:tcW w:w="1440" w:type="dxa"/>
          </w:tcPr>
          <w:p w14:paraId="2FA82083" w14:textId="77777777" w:rsidR="004E3ABC" w:rsidRDefault="00000000">
            <w:r>
              <w:rPr>
                <w:rFonts w:ascii="Manrope" w:hAnsi="Manrope"/>
                <w:sz w:val="20"/>
              </w:rPr>
              <w:t>0:48</w:t>
            </w:r>
          </w:p>
        </w:tc>
        <w:tc>
          <w:tcPr>
            <w:tcW w:w="4320" w:type="dxa"/>
          </w:tcPr>
          <w:p w14:paraId="5FF41DD3" w14:textId="77777777" w:rsidR="004E3ABC" w:rsidRDefault="00000000">
            <w:r>
              <w:rPr>
                <w:rFonts w:ascii="Manrope" w:hAnsi="Manrope"/>
                <w:sz w:val="20"/>
              </w:rPr>
              <w:t xml:space="preserve">Hao shares how sport, music, dance, and </w:t>
            </w:r>
            <w:r>
              <w:rPr>
                <w:rFonts w:ascii="Manrope" w:hAnsi="Manrope"/>
                <w:sz w:val="20"/>
              </w:rPr>
              <w:lastRenderedPageBreak/>
              <w:t>community connections contribute to identity, belonging, and wellbeing.</w:t>
            </w:r>
          </w:p>
        </w:tc>
        <w:tc>
          <w:tcPr>
            <w:tcW w:w="5040" w:type="dxa"/>
          </w:tcPr>
          <w:p w14:paraId="3329187F" w14:textId="77777777" w:rsidR="004E3ABC" w:rsidRDefault="00000000">
            <w:pPr>
              <w:pStyle w:val="ListBullet"/>
            </w:pPr>
            <w:r>
              <w:rPr>
                <w:rFonts w:ascii="Manrope" w:hAnsi="Manrope"/>
                <w:sz w:val="20"/>
              </w:rPr>
              <w:lastRenderedPageBreak/>
              <w:t xml:space="preserve">Emphasises that identity is shaped by more than </w:t>
            </w:r>
            <w:r>
              <w:rPr>
                <w:rFonts w:ascii="Manrope" w:hAnsi="Manrope"/>
                <w:sz w:val="20"/>
              </w:rPr>
              <w:lastRenderedPageBreak/>
              <w:t>disability or diagnosis.</w:t>
            </w:r>
          </w:p>
          <w:p w14:paraId="4A9D88BE" w14:textId="77777777" w:rsidR="004E3ABC" w:rsidRDefault="00000000">
            <w:pPr>
              <w:pStyle w:val="ListBullet"/>
            </w:pPr>
            <w:r>
              <w:rPr>
                <w:rFonts w:ascii="Manrope" w:hAnsi="Manrope"/>
                <w:sz w:val="20"/>
              </w:rPr>
              <w:t>Highlights the importance of cultural, family, and community connections.</w:t>
            </w:r>
          </w:p>
          <w:p w14:paraId="1893BB3D" w14:textId="77777777" w:rsidR="004E3ABC" w:rsidRDefault="00000000">
            <w:pPr>
              <w:pStyle w:val="ListBullet"/>
            </w:pPr>
            <w:r>
              <w:rPr>
                <w:rFonts w:ascii="Manrope" w:hAnsi="Manrope"/>
                <w:sz w:val="20"/>
              </w:rPr>
              <w:t>Encourages educators and families to notice the whole person, not just support needs.</w:t>
            </w:r>
          </w:p>
        </w:tc>
      </w:tr>
      <w:tr w:rsidR="004E3ABC" w14:paraId="7ABDC8F6" w14:textId="77777777">
        <w:trPr>
          <w:jc w:val="center"/>
        </w:trPr>
        <w:tc>
          <w:tcPr>
            <w:tcW w:w="2880" w:type="dxa"/>
          </w:tcPr>
          <w:p w14:paraId="160A7ED9" w14:textId="77777777" w:rsidR="004E3ABC" w:rsidRDefault="00000000">
            <w:r>
              <w:rPr>
                <w:rFonts w:ascii="Manrope" w:hAnsi="Manrope"/>
                <w:sz w:val="20"/>
              </w:rPr>
              <w:lastRenderedPageBreak/>
              <w:t>Communication</w:t>
            </w:r>
          </w:p>
        </w:tc>
        <w:tc>
          <w:tcPr>
            <w:tcW w:w="1440" w:type="dxa"/>
          </w:tcPr>
          <w:p w14:paraId="2BB11AEF" w14:textId="77777777" w:rsidR="004E3ABC" w:rsidRDefault="00000000">
            <w:r>
              <w:rPr>
                <w:rFonts w:ascii="Manrope" w:hAnsi="Manrope"/>
                <w:sz w:val="20"/>
              </w:rPr>
              <w:t>20</w:t>
            </w:r>
          </w:p>
        </w:tc>
        <w:tc>
          <w:tcPr>
            <w:tcW w:w="1440" w:type="dxa"/>
          </w:tcPr>
          <w:p w14:paraId="4462FCF8" w14:textId="77777777" w:rsidR="004E3ABC" w:rsidRDefault="00000000">
            <w:r>
              <w:rPr>
                <w:rFonts w:ascii="Manrope" w:hAnsi="Manrope"/>
                <w:sz w:val="20"/>
              </w:rPr>
              <w:t>8:25</w:t>
            </w:r>
          </w:p>
        </w:tc>
        <w:tc>
          <w:tcPr>
            <w:tcW w:w="4320" w:type="dxa"/>
          </w:tcPr>
          <w:p w14:paraId="248F8E23" w14:textId="77777777" w:rsidR="004E3ABC" w:rsidRDefault="00000000">
            <w:r>
              <w:rPr>
                <w:rFonts w:ascii="Manrope" w:hAnsi="Manrope"/>
                <w:sz w:val="20"/>
              </w:rPr>
              <w:t>A montage of lived experience perspectives shows different ways autistic young people communicate, including speech, augmentative and alternative communication (AAC), and non-verbal or indirect communication styles.</w:t>
            </w:r>
          </w:p>
        </w:tc>
        <w:tc>
          <w:tcPr>
            <w:tcW w:w="5040" w:type="dxa"/>
          </w:tcPr>
          <w:p w14:paraId="324C989A" w14:textId="77777777" w:rsidR="004E3ABC" w:rsidRDefault="00000000">
            <w:pPr>
              <w:pStyle w:val="ListBullet"/>
            </w:pPr>
            <w:r>
              <w:rPr>
                <w:rFonts w:ascii="Manrope" w:hAnsi="Manrope"/>
                <w:sz w:val="20"/>
              </w:rPr>
              <w:t>Shows that communication is diverse and cannot be reduced to spoken language alone.</w:t>
            </w:r>
          </w:p>
          <w:p w14:paraId="3F871527" w14:textId="77777777" w:rsidR="004E3ABC" w:rsidRDefault="00000000">
            <w:pPr>
              <w:pStyle w:val="ListBullet"/>
            </w:pPr>
            <w:r>
              <w:rPr>
                <w:rFonts w:ascii="Manrope" w:hAnsi="Manrope"/>
                <w:sz w:val="20"/>
              </w:rPr>
              <w:t>Introduces augmentative and alternative communication (AAC — tools and methods that support or replace speech, such as picture boards, speech-generating devices, or apps), processing differences, and misunderstandings in social interaction.</w:t>
            </w:r>
          </w:p>
          <w:p w14:paraId="3C433E67" w14:textId="77777777" w:rsidR="004E3ABC" w:rsidRDefault="00000000">
            <w:pPr>
              <w:pStyle w:val="ListBullet"/>
            </w:pPr>
            <w:r>
              <w:rPr>
                <w:rFonts w:ascii="Manrope" w:hAnsi="Manrope"/>
                <w:sz w:val="20"/>
              </w:rPr>
              <w:t>Encourages communication support that is flexible, respectful, and collaborative.</w:t>
            </w:r>
          </w:p>
        </w:tc>
      </w:tr>
      <w:tr w:rsidR="004E3ABC" w14:paraId="53C065EA" w14:textId="77777777">
        <w:trPr>
          <w:jc w:val="center"/>
        </w:trPr>
        <w:tc>
          <w:tcPr>
            <w:tcW w:w="2880" w:type="dxa"/>
          </w:tcPr>
          <w:p w14:paraId="5DD37383" w14:textId="77777777" w:rsidR="004E3ABC" w:rsidRDefault="00000000">
            <w:r>
              <w:rPr>
                <w:rFonts w:ascii="Manrope" w:hAnsi="Manrope"/>
                <w:sz w:val="20"/>
              </w:rPr>
              <w:t>Executive Functioning</w:t>
            </w:r>
          </w:p>
        </w:tc>
        <w:tc>
          <w:tcPr>
            <w:tcW w:w="1440" w:type="dxa"/>
          </w:tcPr>
          <w:p w14:paraId="140342E2" w14:textId="77777777" w:rsidR="004E3ABC" w:rsidRDefault="00000000">
            <w:r>
              <w:rPr>
                <w:rFonts w:ascii="Manrope" w:hAnsi="Manrope"/>
                <w:sz w:val="20"/>
              </w:rPr>
              <w:t>24</w:t>
            </w:r>
          </w:p>
        </w:tc>
        <w:tc>
          <w:tcPr>
            <w:tcW w:w="1440" w:type="dxa"/>
          </w:tcPr>
          <w:p w14:paraId="5C2986DB" w14:textId="77777777" w:rsidR="004E3ABC" w:rsidRDefault="00000000">
            <w:r>
              <w:rPr>
                <w:rFonts w:ascii="Manrope" w:hAnsi="Manrope"/>
                <w:sz w:val="20"/>
              </w:rPr>
              <w:t>1:30</w:t>
            </w:r>
          </w:p>
        </w:tc>
        <w:tc>
          <w:tcPr>
            <w:tcW w:w="4320" w:type="dxa"/>
          </w:tcPr>
          <w:p w14:paraId="40276696" w14:textId="77777777" w:rsidR="004E3ABC" w:rsidRDefault="00000000">
            <w:r>
              <w:rPr>
                <w:rFonts w:ascii="Manrope" w:hAnsi="Manrope"/>
                <w:sz w:val="20"/>
              </w:rPr>
              <w:t>This explainer introduces executive functioning as the set of mental processes that help people organise, plan, remember, and manage actions.</w:t>
            </w:r>
          </w:p>
        </w:tc>
        <w:tc>
          <w:tcPr>
            <w:tcW w:w="5040" w:type="dxa"/>
          </w:tcPr>
          <w:p w14:paraId="429758F7" w14:textId="77777777" w:rsidR="004E3ABC" w:rsidRDefault="00000000">
            <w:pPr>
              <w:pStyle w:val="ListBullet"/>
            </w:pPr>
            <w:r>
              <w:rPr>
                <w:rFonts w:ascii="Manrope" w:hAnsi="Manrope"/>
                <w:sz w:val="20"/>
              </w:rPr>
              <w:t>Defines executive functioning in practical, everyday terms.</w:t>
            </w:r>
          </w:p>
          <w:p w14:paraId="433CD8B7" w14:textId="77777777" w:rsidR="004E3ABC" w:rsidRDefault="00000000">
            <w:pPr>
              <w:pStyle w:val="ListBullet"/>
            </w:pPr>
            <w:r>
              <w:rPr>
                <w:rFonts w:ascii="Manrope" w:hAnsi="Manrope"/>
                <w:sz w:val="20"/>
              </w:rPr>
              <w:t>Links executive functioning to organisation, planning, memory, and self-management.</w:t>
            </w:r>
          </w:p>
          <w:p w14:paraId="1052CE48" w14:textId="77777777" w:rsidR="004E3ABC" w:rsidRDefault="00000000">
            <w:pPr>
              <w:pStyle w:val="ListBullet"/>
            </w:pPr>
            <w:r>
              <w:rPr>
                <w:rFonts w:ascii="Manrope" w:hAnsi="Manrope"/>
                <w:sz w:val="20"/>
              </w:rPr>
              <w:t>Helps participants recognise that these processes can affect participation across school and home life.</w:t>
            </w:r>
          </w:p>
        </w:tc>
      </w:tr>
      <w:tr w:rsidR="004E3ABC" w14:paraId="4A6D13FA" w14:textId="77777777">
        <w:trPr>
          <w:jc w:val="center"/>
        </w:trPr>
        <w:tc>
          <w:tcPr>
            <w:tcW w:w="2880" w:type="dxa"/>
          </w:tcPr>
          <w:p w14:paraId="17129FF9" w14:textId="77777777" w:rsidR="004E3ABC" w:rsidRDefault="00000000">
            <w:r>
              <w:rPr>
                <w:rFonts w:ascii="Manrope" w:hAnsi="Manrope"/>
                <w:sz w:val="20"/>
              </w:rPr>
              <w:t>Dean</w:t>
            </w:r>
          </w:p>
        </w:tc>
        <w:tc>
          <w:tcPr>
            <w:tcW w:w="1440" w:type="dxa"/>
          </w:tcPr>
          <w:p w14:paraId="408FBE64" w14:textId="77777777" w:rsidR="004E3ABC" w:rsidRDefault="00000000">
            <w:r>
              <w:rPr>
                <w:rFonts w:ascii="Manrope" w:hAnsi="Manrope"/>
                <w:sz w:val="20"/>
              </w:rPr>
              <w:t>25</w:t>
            </w:r>
          </w:p>
        </w:tc>
        <w:tc>
          <w:tcPr>
            <w:tcW w:w="1440" w:type="dxa"/>
          </w:tcPr>
          <w:p w14:paraId="6587DF3D" w14:textId="77777777" w:rsidR="004E3ABC" w:rsidRDefault="00000000">
            <w:r>
              <w:rPr>
                <w:rFonts w:ascii="Manrope" w:hAnsi="Manrope"/>
                <w:sz w:val="20"/>
              </w:rPr>
              <w:t>1:46</w:t>
            </w:r>
          </w:p>
        </w:tc>
        <w:tc>
          <w:tcPr>
            <w:tcW w:w="4320" w:type="dxa"/>
          </w:tcPr>
          <w:p w14:paraId="288C09FE" w14:textId="77777777" w:rsidR="004E3ABC" w:rsidRDefault="00000000">
            <w:r>
              <w:rPr>
                <w:rFonts w:ascii="Manrope" w:hAnsi="Manrope"/>
                <w:sz w:val="20"/>
              </w:rPr>
              <w:t>Dean shares a lived experience perspective on executive functioning and how these challenges can affect daily expectations and routines.</w:t>
            </w:r>
          </w:p>
        </w:tc>
        <w:tc>
          <w:tcPr>
            <w:tcW w:w="5040" w:type="dxa"/>
          </w:tcPr>
          <w:p w14:paraId="1F681F28" w14:textId="77777777" w:rsidR="004E3ABC" w:rsidRDefault="00000000">
            <w:pPr>
              <w:pStyle w:val="ListBullet"/>
            </w:pPr>
            <w:r>
              <w:rPr>
                <w:rFonts w:ascii="Manrope" w:hAnsi="Manrope"/>
                <w:sz w:val="20"/>
              </w:rPr>
              <w:t>Adds a personal perspective to the concept of executive functioning.</w:t>
            </w:r>
          </w:p>
          <w:p w14:paraId="787FF8C0" w14:textId="77777777" w:rsidR="004E3ABC" w:rsidRDefault="00000000">
            <w:pPr>
              <w:pStyle w:val="ListBullet"/>
            </w:pPr>
            <w:r>
              <w:rPr>
                <w:rFonts w:ascii="Manrope" w:hAnsi="Manrope"/>
                <w:sz w:val="20"/>
              </w:rPr>
              <w:t>Shows how invisible cognitive demands can shape everyday experiences.</w:t>
            </w:r>
          </w:p>
          <w:p w14:paraId="6076D8EE" w14:textId="77777777" w:rsidR="004E3ABC" w:rsidRDefault="00000000">
            <w:pPr>
              <w:pStyle w:val="ListBullet"/>
            </w:pPr>
            <w:r>
              <w:rPr>
                <w:rFonts w:ascii="Manrope" w:hAnsi="Manrope"/>
                <w:sz w:val="20"/>
              </w:rPr>
              <w:t>Encourages empathy for behaviours that may otherwise be misread as unwillingness or defiance.</w:t>
            </w:r>
          </w:p>
        </w:tc>
      </w:tr>
      <w:tr w:rsidR="004E3ABC" w14:paraId="4DE710F7" w14:textId="77777777">
        <w:trPr>
          <w:jc w:val="center"/>
        </w:trPr>
        <w:tc>
          <w:tcPr>
            <w:tcW w:w="2880" w:type="dxa"/>
          </w:tcPr>
          <w:p w14:paraId="55A43EC7" w14:textId="77777777" w:rsidR="004E3ABC" w:rsidRDefault="00000000">
            <w:r>
              <w:rPr>
                <w:rFonts w:ascii="Manrope" w:hAnsi="Manrope"/>
                <w:sz w:val="20"/>
              </w:rPr>
              <w:t>Self-care and Independence</w:t>
            </w:r>
          </w:p>
        </w:tc>
        <w:tc>
          <w:tcPr>
            <w:tcW w:w="1440" w:type="dxa"/>
          </w:tcPr>
          <w:p w14:paraId="190933C8" w14:textId="77777777" w:rsidR="004E3ABC" w:rsidRDefault="00000000">
            <w:r>
              <w:rPr>
                <w:rFonts w:ascii="Manrope" w:hAnsi="Manrope"/>
                <w:sz w:val="20"/>
              </w:rPr>
              <w:t>28</w:t>
            </w:r>
          </w:p>
        </w:tc>
        <w:tc>
          <w:tcPr>
            <w:tcW w:w="1440" w:type="dxa"/>
          </w:tcPr>
          <w:p w14:paraId="1114512E" w14:textId="77777777" w:rsidR="004E3ABC" w:rsidRDefault="00000000">
            <w:r>
              <w:rPr>
                <w:rFonts w:ascii="Manrope" w:hAnsi="Manrope"/>
                <w:sz w:val="20"/>
              </w:rPr>
              <w:t>1:52</w:t>
            </w:r>
          </w:p>
        </w:tc>
        <w:tc>
          <w:tcPr>
            <w:tcW w:w="4320" w:type="dxa"/>
          </w:tcPr>
          <w:p w14:paraId="537B1D2A" w14:textId="77777777" w:rsidR="004E3ABC" w:rsidRDefault="00000000">
            <w:r>
              <w:rPr>
                <w:rFonts w:ascii="Manrope" w:hAnsi="Manrope"/>
                <w:sz w:val="20"/>
              </w:rPr>
              <w:t>Adon talks about self-care and independence skills, drawing attention to the hidden demands involved in everyday tasks.</w:t>
            </w:r>
          </w:p>
        </w:tc>
        <w:tc>
          <w:tcPr>
            <w:tcW w:w="5040" w:type="dxa"/>
          </w:tcPr>
          <w:p w14:paraId="351AAABA" w14:textId="77777777" w:rsidR="004E3ABC" w:rsidRDefault="00000000">
            <w:pPr>
              <w:pStyle w:val="ListBullet"/>
            </w:pPr>
            <w:r>
              <w:rPr>
                <w:rFonts w:ascii="Manrope" w:hAnsi="Manrope"/>
                <w:sz w:val="20"/>
              </w:rPr>
              <w:t>Shows that everyday independence often requires planning, sequencing, and support.</w:t>
            </w:r>
          </w:p>
          <w:p w14:paraId="5B146C92" w14:textId="77777777" w:rsidR="004E3ABC" w:rsidRDefault="00000000">
            <w:pPr>
              <w:pStyle w:val="ListBullet"/>
            </w:pPr>
            <w:r>
              <w:rPr>
                <w:rFonts w:ascii="Manrope" w:hAnsi="Manrope"/>
                <w:sz w:val="20"/>
              </w:rPr>
              <w:t>Highlights how self-care expectations can be stressful or uneven across contexts.</w:t>
            </w:r>
          </w:p>
          <w:p w14:paraId="3996166C" w14:textId="77777777" w:rsidR="004E3ABC" w:rsidRDefault="00000000">
            <w:pPr>
              <w:pStyle w:val="ListBullet"/>
            </w:pPr>
            <w:r>
              <w:rPr>
                <w:rFonts w:ascii="Manrope" w:hAnsi="Manrope"/>
                <w:sz w:val="20"/>
              </w:rPr>
              <w:t>Encourages realistic and individualised support rather than assumptions about capability.</w:t>
            </w:r>
          </w:p>
        </w:tc>
      </w:tr>
      <w:tr w:rsidR="004E3ABC" w14:paraId="2CCFBCB0" w14:textId="77777777">
        <w:trPr>
          <w:jc w:val="center"/>
        </w:trPr>
        <w:tc>
          <w:tcPr>
            <w:tcW w:w="2880" w:type="dxa"/>
          </w:tcPr>
          <w:p w14:paraId="3482A481" w14:textId="77777777" w:rsidR="004E3ABC" w:rsidRDefault="00000000">
            <w:r>
              <w:rPr>
                <w:rFonts w:ascii="Manrope" w:hAnsi="Manrope"/>
                <w:sz w:val="20"/>
              </w:rPr>
              <w:t>Strategies</w:t>
            </w:r>
          </w:p>
        </w:tc>
        <w:tc>
          <w:tcPr>
            <w:tcW w:w="1440" w:type="dxa"/>
          </w:tcPr>
          <w:p w14:paraId="12EDBB5D" w14:textId="77777777" w:rsidR="004E3ABC" w:rsidRDefault="00000000">
            <w:r>
              <w:rPr>
                <w:rFonts w:ascii="Manrope" w:hAnsi="Manrope"/>
                <w:sz w:val="20"/>
              </w:rPr>
              <w:t>31</w:t>
            </w:r>
          </w:p>
        </w:tc>
        <w:tc>
          <w:tcPr>
            <w:tcW w:w="1440" w:type="dxa"/>
          </w:tcPr>
          <w:p w14:paraId="453991BD" w14:textId="77777777" w:rsidR="004E3ABC" w:rsidRDefault="00000000">
            <w:r>
              <w:rPr>
                <w:rFonts w:ascii="Manrope" w:hAnsi="Manrope"/>
                <w:sz w:val="20"/>
              </w:rPr>
              <w:t>12:00</w:t>
            </w:r>
          </w:p>
        </w:tc>
        <w:tc>
          <w:tcPr>
            <w:tcW w:w="4320" w:type="dxa"/>
          </w:tcPr>
          <w:p w14:paraId="4C98C6EB" w14:textId="77777777" w:rsidR="004E3ABC" w:rsidRDefault="00000000">
            <w:r>
              <w:rPr>
                <w:rFonts w:ascii="Manrope" w:hAnsi="Manrope"/>
                <w:sz w:val="20"/>
              </w:rPr>
              <w:t>Autistic young people describe strategies and supports that help them participate, self-regulate (manage their emotions and responses), communicate, and manage day-to-day life.</w:t>
            </w:r>
          </w:p>
        </w:tc>
        <w:tc>
          <w:tcPr>
            <w:tcW w:w="5040" w:type="dxa"/>
          </w:tcPr>
          <w:p w14:paraId="1C13F53F" w14:textId="77777777" w:rsidR="004E3ABC" w:rsidRDefault="00000000">
            <w:pPr>
              <w:pStyle w:val="ListBullet"/>
            </w:pPr>
            <w:r>
              <w:rPr>
                <w:rFonts w:ascii="Manrope" w:hAnsi="Manrope"/>
                <w:sz w:val="20"/>
              </w:rPr>
              <w:t>Provides concrete examples of supports that make a positive difference.</w:t>
            </w:r>
          </w:p>
          <w:p w14:paraId="44B43D7D" w14:textId="77777777" w:rsidR="004E3ABC" w:rsidRDefault="00000000">
            <w:pPr>
              <w:pStyle w:val="ListBullet"/>
            </w:pPr>
            <w:r>
              <w:rPr>
                <w:rFonts w:ascii="Manrope" w:hAnsi="Manrope"/>
                <w:sz w:val="20"/>
              </w:rPr>
              <w:t>Shows that useful strategies are individual and context-dependent.</w:t>
            </w:r>
          </w:p>
          <w:p w14:paraId="51A7C8D0" w14:textId="77777777" w:rsidR="004E3ABC" w:rsidRDefault="00000000">
            <w:pPr>
              <w:pStyle w:val="ListBullet"/>
            </w:pPr>
            <w:r>
              <w:rPr>
                <w:rFonts w:ascii="Manrope" w:hAnsi="Manrope"/>
                <w:sz w:val="20"/>
              </w:rPr>
              <w:t>Encourages participants to match strategies to the person rather than apply the same approach to everyone.</w:t>
            </w:r>
          </w:p>
        </w:tc>
      </w:tr>
    </w:tbl>
    <w:p w14:paraId="38867FB5" w14:textId="77777777" w:rsidR="004E3ABC" w:rsidRDefault="004E3ABC"/>
    <w:p w14:paraId="1ADE1F71" w14:textId="77777777" w:rsidR="004E3ABC" w:rsidRDefault="00000000">
      <w:r>
        <w:rPr>
          <w:rFonts w:ascii="Fraunces" w:hAnsi="Fraunces"/>
          <w:b/>
          <w:color w:val="712D90"/>
          <w:sz w:val="30"/>
        </w:rPr>
        <w:t>Session 3: Sensory Processing</w:t>
      </w:r>
    </w:p>
    <w:tbl>
      <w:tblPr>
        <w:tblStyle w:val="TableGrid"/>
        <w:tblW w:w="0" w:type="auto"/>
        <w:jc w:val="center"/>
        <w:tblLayout w:type="fixed"/>
        <w:tblLook w:val="04A0" w:firstRow="1" w:lastRow="0" w:firstColumn="1" w:lastColumn="0" w:noHBand="0" w:noVBand="1"/>
      </w:tblPr>
      <w:tblGrid>
        <w:gridCol w:w="2880"/>
        <w:gridCol w:w="1440"/>
        <w:gridCol w:w="1440"/>
        <w:gridCol w:w="4320"/>
        <w:gridCol w:w="5040"/>
      </w:tblGrid>
      <w:tr w:rsidR="004E3ABC" w14:paraId="02CBD8F6" w14:textId="77777777">
        <w:trPr>
          <w:jc w:val="center"/>
        </w:trPr>
        <w:tc>
          <w:tcPr>
            <w:tcW w:w="2880" w:type="dxa"/>
            <w:shd w:val="clear" w:color="auto" w:fill="E9DDF2"/>
          </w:tcPr>
          <w:p w14:paraId="5668FFFA" w14:textId="77777777" w:rsidR="004E3ABC" w:rsidRDefault="00000000">
            <w:r>
              <w:rPr>
                <w:rFonts w:ascii="Manrope" w:hAnsi="Manrope"/>
                <w:b/>
                <w:sz w:val="20"/>
              </w:rPr>
              <w:t>Video Name</w:t>
            </w:r>
          </w:p>
        </w:tc>
        <w:tc>
          <w:tcPr>
            <w:tcW w:w="1440" w:type="dxa"/>
            <w:shd w:val="clear" w:color="auto" w:fill="E9DDF2"/>
          </w:tcPr>
          <w:p w14:paraId="1530F011" w14:textId="77777777" w:rsidR="004E3ABC" w:rsidRDefault="00000000">
            <w:r>
              <w:rPr>
                <w:rFonts w:ascii="Manrope" w:hAnsi="Manrope"/>
                <w:b/>
                <w:sz w:val="20"/>
              </w:rPr>
              <w:t>Slide Number</w:t>
            </w:r>
          </w:p>
        </w:tc>
        <w:tc>
          <w:tcPr>
            <w:tcW w:w="1440" w:type="dxa"/>
            <w:shd w:val="clear" w:color="auto" w:fill="E9DDF2"/>
          </w:tcPr>
          <w:p w14:paraId="11767247" w14:textId="77777777" w:rsidR="004E3ABC" w:rsidRDefault="00000000">
            <w:r>
              <w:rPr>
                <w:rFonts w:ascii="Manrope" w:hAnsi="Manrope"/>
                <w:b/>
                <w:sz w:val="20"/>
              </w:rPr>
              <w:t>Duration</w:t>
            </w:r>
          </w:p>
        </w:tc>
        <w:tc>
          <w:tcPr>
            <w:tcW w:w="4320" w:type="dxa"/>
            <w:shd w:val="clear" w:color="auto" w:fill="E9DDF2"/>
          </w:tcPr>
          <w:p w14:paraId="080AC6D1" w14:textId="77777777" w:rsidR="004E3ABC" w:rsidRDefault="00000000">
            <w:r>
              <w:rPr>
                <w:rFonts w:ascii="Manrope" w:hAnsi="Manrope"/>
                <w:b/>
                <w:sz w:val="20"/>
              </w:rPr>
              <w:t>Summary</w:t>
            </w:r>
          </w:p>
        </w:tc>
        <w:tc>
          <w:tcPr>
            <w:tcW w:w="5040" w:type="dxa"/>
            <w:shd w:val="clear" w:color="auto" w:fill="E9DDF2"/>
          </w:tcPr>
          <w:p w14:paraId="2079FC2C" w14:textId="77777777" w:rsidR="004E3ABC" w:rsidRDefault="00000000">
            <w:r>
              <w:rPr>
                <w:rFonts w:ascii="Manrope" w:hAnsi="Manrope"/>
                <w:b/>
                <w:sz w:val="20"/>
              </w:rPr>
              <w:t>Key Concepts</w:t>
            </w:r>
          </w:p>
        </w:tc>
      </w:tr>
      <w:tr w:rsidR="004E3ABC" w14:paraId="19F305DF" w14:textId="77777777">
        <w:trPr>
          <w:jc w:val="center"/>
        </w:trPr>
        <w:tc>
          <w:tcPr>
            <w:tcW w:w="2880" w:type="dxa"/>
          </w:tcPr>
          <w:p w14:paraId="614F18F3" w14:textId="77777777" w:rsidR="004E3ABC" w:rsidRDefault="00000000">
            <w:r>
              <w:rPr>
                <w:rFonts w:ascii="Manrope" w:hAnsi="Manrope"/>
                <w:sz w:val="20"/>
              </w:rPr>
              <w:t>What can sensory processing differences feel like</w:t>
            </w:r>
          </w:p>
        </w:tc>
        <w:tc>
          <w:tcPr>
            <w:tcW w:w="1440" w:type="dxa"/>
          </w:tcPr>
          <w:p w14:paraId="327D1C57" w14:textId="77777777" w:rsidR="004E3ABC" w:rsidRDefault="00000000">
            <w:r>
              <w:rPr>
                <w:rFonts w:ascii="Manrope" w:hAnsi="Manrope"/>
                <w:sz w:val="20"/>
              </w:rPr>
              <w:t>6</w:t>
            </w:r>
          </w:p>
        </w:tc>
        <w:tc>
          <w:tcPr>
            <w:tcW w:w="1440" w:type="dxa"/>
          </w:tcPr>
          <w:p w14:paraId="04B4FBF8" w14:textId="77777777" w:rsidR="004E3ABC" w:rsidRDefault="00000000">
            <w:r>
              <w:rPr>
                <w:rFonts w:ascii="Manrope" w:hAnsi="Manrope"/>
                <w:sz w:val="20"/>
              </w:rPr>
              <w:t>2:21</w:t>
            </w:r>
          </w:p>
        </w:tc>
        <w:tc>
          <w:tcPr>
            <w:tcW w:w="4320" w:type="dxa"/>
          </w:tcPr>
          <w:p w14:paraId="2E32FBB6" w14:textId="77777777" w:rsidR="004E3ABC" w:rsidRDefault="00000000">
            <w:r>
              <w:rPr>
                <w:rFonts w:ascii="Manrope" w:hAnsi="Manrope"/>
                <w:sz w:val="20"/>
              </w:rPr>
              <w:t>This clip offers a first-person sensory perspective, helping participants imagine how everyday environments can feel intense, beautiful, or overwhelming.</w:t>
            </w:r>
          </w:p>
        </w:tc>
        <w:tc>
          <w:tcPr>
            <w:tcW w:w="5040" w:type="dxa"/>
          </w:tcPr>
          <w:p w14:paraId="74EF4BCE" w14:textId="77777777" w:rsidR="004E3ABC" w:rsidRDefault="00000000">
            <w:pPr>
              <w:pStyle w:val="ListBullet"/>
            </w:pPr>
            <w:r>
              <w:rPr>
                <w:rFonts w:ascii="Manrope" w:hAnsi="Manrope"/>
                <w:sz w:val="20"/>
              </w:rPr>
              <w:t>Introduces sensory processing through lived experience rather than theory alone.</w:t>
            </w:r>
          </w:p>
          <w:p w14:paraId="1B3C241C" w14:textId="77777777" w:rsidR="004E3ABC" w:rsidRDefault="00000000">
            <w:pPr>
              <w:pStyle w:val="ListBullet"/>
            </w:pPr>
            <w:r>
              <w:rPr>
                <w:rFonts w:ascii="Manrope" w:hAnsi="Manrope"/>
                <w:sz w:val="20"/>
              </w:rPr>
              <w:t>Shows that sensory experiences can be heightened, layered, and deeply personal.</w:t>
            </w:r>
          </w:p>
          <w:p w14:paraId="6D420CD4" w14:textId="77777777" w:rsidR="004E3ABC" w:rsidRDefault="00000000">
            <w:pPr>
              <w:pStyle w:val="ListBullet"/>
            </w:pPr>
            <w:r>
              <w:rPr>
                <w:rFonts w:ascii="Manrope" w:hAnsi="Manrope"/>
                <w:sz w:val="20"/>
              </w:rPr>
              <w:t>Builds empathy for how ordinary settings may feel very different to autistic people.</w:t>
            </w:r>
          </w:p>
        </w:tc>
      </w:tr>
      <w:tr w:rsidR="004E3ABC" w14:paraId="7BFE5B6F" w14:textId="77777777">
        <w:trPr>
          <w:jc w:val="center"/>
        </w:trPr>
        <w:tc>
          <w:tcPr>
            <w:tcW w:w="2880" w:type="dxa"/>
          </w:tcPr>
          <w:p w14:paraId="1B350239" w14:textId="77777777" w:rsidR="004E3ABC" w:rsidRDefault="00000000">
            <w:r>
              <w:rPr>
                <w:rFonts w:ascii="Manrope" w:hAnsi="Manrope"/>
                <w:sz w:val="20"/>
              </w:rPr>
              <w:t>Judy Endow: Sensory Processing</w:t>
            </w:r>
          </w:p>
        </w:tc>
        <w:tc>
          <w:tcPr>
            <w:tcW w:w="1440" w:type="dxa"/>
          </w:tcPr>
          <w:p w14:paraId="5BA2FFC0" w14:textId="77777777" w:rsidR="004E3ABC" w:rsidRDefault="00000000">
            <w:r>
              <w:rPr>
                <w:rFonts w:ascii="Manrope" w:hAnsi="Manrope"/>
                <w:sz w:val="20"/>
              </w:rPr>
              <w:t>7</w:t>
            </w:r>
          </w:p>
        </w:tc>
        <w:tc>
          <w:tcPr>
            <w:tcW w:w="1440" w:type="dxa"/>
          </w:tcPr>
          <w:p w14:paraId="173A47B0" w14:textId="77777777" w:rsidR="004E3ABC" w:rsidRDefault="00000000">
            <w:r>
              <w:rPr>
                <w:rFonts w:ascii="Manrope" w:hAnsi="Manrope"/>
                <w:sz w:val="20"/>
              </w:rPr>
              <w:t>1:00</w:t>
            </w:r>
          </w:p>
        </w:tc>
        <w:tc>
          <w:tcPr>
            <w:tcW w:w="4320" w:type="dxa"/>
          </w:tcPr>
          <w:p w14:paraId="31DCE3BC" w14:textId="77777777" w:rsidR="004E3ABC" w:rsidRDefault="00000000">
            <w:r>
              <w:rPr>
                <w:rFonts w:ascii="Manrope" w:hAnsi="Manrope"/>
                <w:sz w:val="20"/>
              </w:rPr>
              <w:t>Judy Endow provides a concise sensory processing perspective that helps explain why autistic responses to the environment can look so different from person to person.</w:t>
            </w:r>
          </w:p>
        </w:tc>
        <w:tc>
          <w:tcPr>
            <w:tcW w:w="5040" w:type="dxa"/>
          </w:tcPr>
          <w:p w14:paraId="02197100" w14:textId="77777777" w:rsidR="004E3ABC" w:rsidRDefault="00000000">
            <w:pPr>
              <w:pStyle w:val="ListBullet"/>
            </w:pPr>
            <w:r>
              <w:rPr>
                <w:rFonts w:ascii="Manrope" w:hAnsi="Manrope"/>
                <w:sz w:val="20"/>
              </w:rPr>
              <w:t>Frames sensory processing as a central part of lived experience, not a side issue.</w:t>
            </w:r>
          </w:p>
          <w:p w14:paraId="2510CE57" w14:textId="77777777" w:rsidR="004E3ABC" w:rsidRDefault="00000000">
            <w:pPr>
              <w:pStyle w:val="ListBullet"/>
            </w:pPr>
            <w:r>
              <w:rPr>
                <w:rFonts w:ascii="Manrope" w:hAnsi="Manrope"/>
                <w:sz w:val="20"/>
              </w:rPr>
              <w:t>Helps participants understand why responses to sound, light, movement, or touch can vary widely.</w:t>
            </w:r>
          </w:p>
          <w:p w14:paraId="10C8A213" w14:textId="77777777" w:rsidR="004E3ABC" w:rsidRDefault="00000000">
            <w:pPr>
              <w:pStyle w:val="ListBullet"/>
            </w:pPr>
            <w:r>
              <w:rPr>
                <w:rFonts w:ascii="Manrope" w:hAnsi="Manrope"/>
                <w:sz w:val="20"/>
              </w:rPr>
              <w:t>Supports a more respectful interpretation of behaviour linked to sensory need.</w:t>
            </w:r>
          </w:p>
        </w:tc>
      </w:tr>
      <w:tr w:rsidR="004E3ABC" w14:paraId="049B693F" w14:textId="77777777">
        <w:trPr>
          <w:jc w:val="center"/>
        </w:trPr>
        <w:tc>
          <w:tcPr>
            <w:tcW w:w="2880" w:type="dxa"/>
          </w:tcPr>
          <w:p w14:paraId="6806BBCA" w14:textId="77777777" w:rsidR="004E3ABC" w:rsidRDefault="00000000">
            <w:r>
              <w:rPr>
                <w:rFonts w:ascii="Manrope" w:hAnsi="Manrope"/>
                <w:sz w:val="20"/>
              </w:rPr>
              <w:t>Over and under sensitive</w:t>
            </w:r>
          </w:p>
        </w:tc>
        <w:tc>
          <w:tcPr>
            <w:tcW w:w="1440" w:type="dxa"/>
          </w:tcPr>
          <w:p w14:paraId="655F27FF" w14:textId="77777777" w:rsidR="004E3ABC" w:rsidRDefault="00000000">
            <w:r>
              <w:rPr>
                <w:rFonts w:ascii="Manrope" w:hAnsi="Manrope"/>
                <w:sz w:val="20"/>
              </w:rPr>
              <w:t>9</w:t>
            </w:r>
          </w:p>
        </w:tc>
        <w:tc>
          <w:tcPr>
            <w:tcW w:w="1440" w:type="dxa"/>
          </w:tcPr>
          <w:p w14:paraId="0E8E45E5" w14:textId="77777777" w:rsidR="004E3ABC" w:rsidRDefault="00000000">
            <w:r>
              <w:rPr>
                <w:rFonts w:ascii="Manrope" w:hAnsi="Manrope"/>
                <w:sz w:val="20"/>
              </w:rPr>
              <w:t>1:00</w:t>
            </w:r>
          </w:p>
        </w:tc>
        <w:tc>
          <w:tcPr>
            <w:tcW w:w="4320" w:type="dxa"/>
          </w:tcPr>
          <w:p w14:paraId="031C1705" w14:textId="77777777" w:rsidR="004E3ABC" w:rsidRDefault="00000000">
            <w:r>
              <w:rPr>
                <w:rFonts w:ascii="Manrope" w:hAnsi="Manrope"/>
                <w:sz w:val="20"/>
              </w:rPr>
              <w:t>This short analogy-based clip explains how people may respond differently when sensory systems are over-responsive, under-responsive, or inconsistent.</w:t>
            </w:r>
          </w:p>
        </w:tc>
        <w:tc>
          <w:tcPr>
            <w:tcW w:w="5040" w:type="dxa"/>
          </w:tcPr>
          <w:p w14:paraId="67ABD077" w14:textId="77777777" w:rsidR="004E3ABC" w:rsidRDefault="00000000">
            <w:pPr>
              <w:pStyle w:val="ListBullet"/>
            </w:pPr>
            <w:r>
              <w:rPr>
                <w:rFonts w:ascii="Manrope" w:hAnsi="Manrope"/>
                <w:sz w:val="20"/>
              </w:rPr>
              <w:t>Introduces the idea that sensory profiles are not all the same.</w:t>
            </w:r>
          </w:p>
          <w:p w14:paraId="4569412B" w14:textId="77777777" w:rsidR="004E3ABC" w:rsidRDefault="00000000">
            <w:pPr>
              <w:pStyle w:val="ListBullet"/>
            </w:pPr>
            <w:r>
              <w:rPr>
                <w:rFonts w:ascii="Manrope" w:hAnsi="Manrope"/>
                <w:sz w:val="20"/>
              </w:rPr>
              <w:t>Explains that sensitivity can shift across senses and situations.</w:t>
            </w:r>
          </w:p>
          <w:p w14:paraId="71F5FA97" w14:textId="77777777" w:rsidR="004E3ABC" w:rsidRDefault="00000000">
            <w:pPr>
              <w:pStyle w:val="ListBullet"/>
            </w:pPr>
            <w:r>
              <w:rPr>
                <w:rFonts w:ascii="Manrope" w:hAnsi="Manrope"/>
                <w:sz w:val="20"/>
              </w:rPr>
              <w:t>Helps participants move beyond simplistic ideas about sensory behaviour.</w:t>
            </w:r>
          </w:p>
        </w:tc>
      </w:tr>
      <w:tr w:rsidR="004E3ABC" w14:paraId="5D3108B6" w14:textId="77777777">
        <w:trPr>
          <w:jc w:val="center"/>
        </w:trPr>
        <w:tc>
          <w:tcPr>
            <w:tcW w:w="2880" w:type="dxa"/>
          </w:tcPr>
          <w:p w14:paraId="59214910" w14:textId="77777777" w:rsidR="004E3ABC" w:rsidRDefault="00000000">
            <w:r>
              <w:rPr>
                <w:rFonts w:ascii="Manrope" w:hAnsi="Manrope"/>
                <w:sz w:val="20"/>
              </w:rPr>
              <w:t>Sensory processing and context</w:t>
            </w:r>
          </w:p>
        </w:tc>
        <w:tc>
          <w:tcPr>
            <w:tcW w:w="1440" w:type="dxa"/>
          </w:tcPr>
          <w:p w14:paraId="6CFCC6F9" w14:textId="77777777" w:rsidR="004E3ABC" w:rsidRDefault="00000000">
            <w:r>
              <w:rPr>
                <w:rFonts w:ascii="Manrope" w:hAnsi="Manrope"/>
                <w:sz w:val="20"/>
              </w:rPr>
              <w:t>13</w:t>
            </w:r>
          </w:p>
        </w:tc>
        <w:tc>
          <w:tcPr>
            <w:tcW w:w="1440" w:type="dxa"/>
          </w:tcPr>
          <w:p w14:paraId="386A2855" w14:textId="77777777" w:rsidR="004E3ABC" w:rsidRDefault="00000000">
            <w:r>
              <w:rPr>
                <w:rFonts w:ascii="Manrope" w:hAnsi="Manrope"/>
                <w:sz w:val="20"/>
              </w:rPr>
              <w:t>4:03</w:t>
            </w:r>
          </w:p>
        </w:tc>
        <w:tc>
          <w:tcPr>
            <w:tcW w:w="4320" w:type="dxa"/>
          </w:tcPr>
          <w:p w14:paraId="5B9A11AE" w14:textId="77777777" w:rsidR="004E3ABC" w:rsidRDefault="00000000">
            <w:r>
              <w:rPr>
                <w:rFonts w:ascii="Manrope" w:hAnsi="Manrope"/>
                <w:sz w:val="20"/>
              </w:rPr>
              <w:t>This video connects sensory experiences to context, showing how the same person may respond very differently depending on the environment, demands, and level of safety.</w:t>
            </w:r>
          </w:p>
        </w:tc>
        <w:tc>
          <w:tcPr>
            <w:tcW w:w="5040" w:type="dxa"/>
          </w:tcPr>
          <w:p w14:paraId="40A52105" w14:textId="77777777" w:rsidR="004E3ABC" w:rsidRDefault="00000000">
            <w:pPr>
              <w:pStyle w:val="ListBullet"/>
            </w:pPr>
            <w:r>
              <w:rPr>
                <w:rFonts w:ascii="Manrope" w:hAnsi="Manrope"/>
                <w:sz w:val="20"/>
              </w:rPr>
              <w:t>Emphasises that sensory processing is shaped by context, not just by the individual.</w:t>
            </w:r>
          </w:p>
          <w:p w14:paraId="19F08A5F" w14:textId="77777777" w:rsidR="004E3ABC" w:rsidRDefault="00000000">
            <w:pPr>
              <w:pStyle w:val="ListBullet"/>
            </w:pPr>
            <w:r>
              <w:rPr>
                <w:rFonts w:ascii="Manrope" w:hAnsi="Manrope"/>
                <w:sz w:val="20"/>
              </w:rPr>
              <w:t>Shows how environment, stress, and demands can change sensory tolerance.</w:t>
            </w:r>
          </w:p>
          <w:p w14:paraId="3BF911EA" w14:textId="77777777" w:rsidR="004E3ABC" w:rsidRDefault="00000000">
            <w:pPr>
              <w:pStyle w:val="ListBullet"/>
            </w:pPr>
            <w:r>
              <w:rPr>
                <w:rFonts w:ascii="Manrope" w:hAnsi="Manrope"/>
                <w:sz w:val="20"/>
              </w:rPr>
              <w:t>Encourages more thoughtful adjustment of spaces, routines, and expectations.</w:t>
            </w:r>
          </w:p>
        </w:tc>
      </w:tr>
      <w:tr w:rsidR="004E3ABC" w14:paraId="4E2D88BC" w14:textId="77777777">
        <w:trPr>
          <w:jc w:val="center"/>
        </w:trPr>
        <w:tc>
          <w:tcPr>
            <w:tcW w:w="2880" w:type="dxa"/>
          </w:tcPr>
          <w:p w14:paraId="3D280BA1" w14:textId="77777777" w:rsidR="004E3ABC" w:rsidRDefault="00000000">
            <w:r>
              <w:rPr>
                <w:rFonts w:ascii="Manrope" w:hAnsi="Manrope"/>
                <w:sz w:val="20"/>
              </w:rPr>
              <w:t>Sensory solutions and strategies</w:t>
            </w:r>
          </w:p>
        </w:tc>
        <w:tc>
          <w:tcPr>
            <w:tcW w:w="1440" w:type="dxa"/>
          </w:tcPr>
          <w:p w14:paraId="4452ED57" w14:textId="77777777" w:rsidR="004E3ABC" w:rsidRDefault="00000000">
            <w:r>
              <w:rPr>
                <w:rFonts w:ascii="Manrope" w:hAnsi="Manrope"/>
                <w:sz w:val="20"/>
              </w:rPr>
              <w:t>15</w:t>
            </w:r>
          </w:p>
        </w:tc>
        <w:tc>
          <w:tcPr>
            <w:tcW w:w="1440" w:type="dxa"/>
          </w:tcPr>
          <w:p w14:paraId="3C67F1E1" w14:textId="77777777" w:rsidR="004E3ABC" w:rsidRDefault="00000000">
            <w:r>
              <w:rPr>
                <w:rFonts w:ascii="Manrope" w:hAnsi="Manrope"/>
                <w:sz w:val="20"/>
              </w:rPr>
              <w:t>3:12</w:t>
            </w:r>
          </w:p>
        </w:tc>
        <w:tc>
          <w:tcPr>
            <w:tcW w:w="4320" w:type="dxa"/>
          </w:tcPr>
          <w:p w14:paraId="7AB72551" w14:textId="77777777" w:rsidR="004E3ABC" w:rsidRDefault="00000000">
            <w:r>
              <w:rPr>
                <w:rFonts w:ascii="Manrope" w:hAnsi="Manrope"/>
                <w:sz w:val="20"/>
              </w:rPr>
              <w:t>Autistic lived experience perspectives are used to explore practical sensory supports and how thoughtful adjustments can make environments more workable.</w:t>
            </w:r>
          </w:p>
        </w:tc>
        <w:tc>
          <w:tcPr>
            <w:tcW w:w="5040" w:type="dxa"/>
          </w:tcPr>
          <w:p w14:paraId="5F1F99CC" w14:textId="77777777" w:rsidR="004E3ABC" w:rsidRDefault="00000000">
            <w:pPr>
              <w:pStyle w:val="ListBullet"/>
            </w:pPr>
            <w:r>
              <w:rPr>
                <w:rFonts w:ascii="Manrope" w:hAnsi="Manrope"/>
                <w:sz w:val="20"/>
              </w:rPr>
              <w:t>Focuses on practical supports rather than expecting the person to simply cope.</w:t>
            </w:r>
          </w:p>
          <w:p w14:paraId="5A5C0D3C" w14:textId="77777777" w:rsidR="004E3ABC" w:rsidRDefault="00000000">
            <w:pPr>
              <w:pStyle w:val="ListBullet"/>
            </w:pPr>
            <w:r>
              <w:rPr>
                <w:rFonts w:ascii="Manrope" w:hAnsi="Manrope"/>
                <w:sz w:val="20"/>
              </w:rPr>
              <w:t>Highlights that sensory strategies should be collaborative and individualised.</w:t>
            </w:r>
          </w:p>
          <w:p w14:paraId="1874A6BE" w14:textId="77777777" w:rsidR="004E3ABC" w:rsidRDefault="00000000">
            <w:pPr>
              <w:pStyle w:val="ListBullet"/>
            </w:pPr>
            <w:r>
              <w:rPr>
                <w:rFonts w:ascii="Manrope" w:hAnsi="Manrope"/>
                <w:sz w:val="20"/>
              </w:rPr>
              <w:t>Connects adjustments to access, comfort, regulation, and participation.</w:t>
            </w:r>
          </w:p>
        </w:tc>
      </w:tr>
    </w:tbl>
    <w:p w14:paraId="43E3799A" w14:textId="77777777" w:rsidR="004E3ABC" w:rsidRDefault="004E3ABC"/>
    <w:p w14:paraId="67A97C8D" w14:textId="77777777" w:rsidR="00B4028A" w:rsidRDefault="00B4028A">
      <w:pPr>
        <w:rPr>
          <w:rFonts w:ascii="Fraunces" w:hAnsi="Fraunces"/>
          <w:b/>
          <w:color w:val="712D90"/>
          <w:sz w:val="30"/>
        </w:rPr>
      </w:pPr>
    </w:p>
    <w:p w14:paraId="08BCD29B" w14:textId="47BAE329" w:rsidR="004E3ABC" w:rsidRDefault="00000000">
      <w:r>
        <w:rPr>
          <w:rFonts w:ascii="Fraunces" w:hAnsi="Fraunces"/>
          <w:b/>
          <w:color w:val="712D90"/>
          <w:sz w:val="30"/>
        </w:rPr>
        <w:lastRenderedPageBreak/>
        <w:t xml:space="preserve">Session 5: Understanding </w:t>
      </w:r>
      <w:proofErr w:type="spellStart"/>
      <w:r>
        <w:rPr>
          <w:rFonts w:ascii="Fraunces" w:hAnsi="Fraunces"/>
          <w:b/>
          <w:color w:val="712D90"/>
          <w:sz w:val="30"/>
        </w:rPr>
        <w:t>Behaviour</w:t>
      </w:r>
      <w:proofErr w:type="spellEnd"/>
    </w:p>
    <w:tbl>
      <w:tblPr>
        <w:tblStyle w:val="TableGrid"/>
        <w:tblW w:w="0" w:type="auto"/>
        <w:jc w:val="center"/>
        <w:tblLayout w:type="fixed"/>
        <w:tblLook w:val="04A0" w:firstRow="1" w:lastRow="0" w:firstColumn="1" w:lastColumn="0" w:noHBand="0" w:noVBand="1"/>
      </w:tblPr>
      <w:tblGrid>
        <w:gridCol w:w="2880"/>
        <w:gridCol w:w="1440"/>
        <w:gridCol w:w="1440"/>
        <w:gridCol w:w="4320"/>
        <w:gridCol w:w="5040"/>
      </w:tblGrid>
      <w:tr w:rsidR="004E3ABC" w14:paraId="23735C84" w14:textId="77777777">
        <w:trPr>
          <w:jc w:val="center"/>
        </w:trPr>
        <w:tc>
          <w:tcPr>
            <w:tcW w:w="2880" w:type="dxa"/>
            <w:shd w:val="clear" w:color="auto" w:fill="E9DDF2"/>
          </w:tcPr>
          <w:p w14:paraId="4EE826A0" w14:textId="77777777" w:rsidR="004E3ABC" w:rsidRDefault="00000000">
            <w:r>
              <w:rPr>
                <w:rFonts w:ascii="Manrope" w:hAnsi="Manrope"/>
                <w:b/>
                <w:sz w:val="20"/>
              </w:rPr>
              <w:t>Video Name</w:t>
            </w:r>
          </w:p>
        </w:tc>
        <w:tc>
          <w:tcPr>
            <w:tcW w:w="1440" w:type="dxa"/>
            <w:shd w:val="clear" w:color="auto" w:fill="E9DDF2"/>
          </w:tcPr>
          <w:p w14:paraId="3B1EA94F" w14:textId="77777777" w:rsidR="004E3ABC" w:rsidRDefault="00000000">
            <w:r>
              <w:rPr>
                <w:rFonts w:ascii="Manrope" w:hAnsi="Manrope"/>
                <w:b/>
                <w:sz w:val="20"/>
              </w:rPr>
              <w:t>Slide Number</w:t>
            </w:r>
          </w:p>
        </w:tc>
        <w:tc>
          <w:tcPr>
            <w:tcW w:w="1440" w:type="dxa"/>
            <w:shd w:val="clear" w:color="auto" w:fill="E9DDF2"/>
          </w:tcPr>
          <w:p w14:paraId="225205BB" w14:textId="77777777" w:rsidR="004E3ABC" w:rsidRDefault="00000000">
            <w:r>
              <w:rPr>
                <w:rFonts w:ascii="Manrope" w:hAnsi="Manrope"/>
                <w:b/>
                <w:sz w:val="20"/>
              </w:rPr>
              <w:t>Duration</w:t>
            </w:r>
          </w:p>
        </w:tc>
        <w:tc>
          <w:tcPr>
            <w:tcW w:w="4320" w:type="dxa"/>
            <w:shd w:val="clear" w:color="auto" w:fill="E9DDF2"/>
          </w:tcPr>
          <w:p w14:paraId="3FB29C18" w14:textId="77777777" w:rsidR="004E3ABC" w:rsidRDefault="00000000">
            <w:r>
              <w:rPr>
                <w:rFonts w:ascii="Manrope" w:hAnsi="Manrope"/>
                <w:b/>
                <w:sz w:val="20"/>
              </w:rPr>
              <w:t>Summary</w:t>
            </w:r>
          </w:p>
        </w:tc>
        <w:tc>
          <w:tcPr>
            <w:tcW w:w="5040" w:type="dxa"/>
            <w:shd w:val="clear" w:color="auto" w:fill="E9DDF2"/>
          </w:tcPr>
          <w:p w14:paraId="421B114C" w14:textId="77777777" w:rsidR="004E3ABC" w:rsidRDefault="00000000">
            <w:r>
              <w:rPr>
                <w:rFonts w:ascii="Manrope" w:hAnsi="Manrope"/>
                <w:b/>
                <w:sz w:val="20"/>
              </w:rPr>
              <w:t>Key Concepts</w:t>
            </w:r>
          </w:p>
        </w:tc>
      </w:tr>
      <w:tr w:rsidR="004E3ABC" w14:paraId="5C61FFCC" w14:textId="77777777">
        <w:trPr>
          <w:jc w:val="center"/>
        </w:trPr>
        <w:tc>
          <w:tcPr>
            <w:tcW w:w="2880" w:type="dxa"/>
          </w:tcPr>
          <w:p w14:paraId="1BB0E782" w14:textId="77777777" w:rsidR="004E3ABC" w:rsidRDefault="00000000">
            <w:r>
              <w:rPr>
                <w:rFonts w:ascii="Manrope" w:hAnsi="Manrope"/>
                <w:sz w:val="20"/>
              </w:rPr>
              <w:t>Dan Siegel's Hand Model of the Brain</w:t>
            </w:r>
          </w:p>
        </w:tc>
        <w:tc>
          <w:tcPr>
            <w:tcW w:w="1440" w:type="dxa"/>
          </w:tcPr>
          <w:p w14:paraId="6CAE1880" w14:textId="77777777" w:rsidR="004E3ABC" w:rsidRDefault="00000000">
            <w:r>
              <w:rPr>
                <w:rFonts w:ascii="Manrope" w:hAnsi="Manrope"/>
                <w:sz w:val="20"/>
              </w:rPr>
              <w:t>11</w:t>
            </w:r>
          </w:p>
        </w:tc>
        <w:tc>
          <w:tcPr>
            <w:tcW w:w="1440" w:type="dxa"/>
          </w:tcPr>
          <w:p w14:paraId="6DEEE221" w14:textId="77777777" w:rsidR="004E3ABC" w:rsidRDefault="00000000">
            <w:r>
              <w:rPr>
                <w:rFonts w:ascii="Manrope" w:hAnsi="Manrope"/>
                <w:sz w:val="20"/>
              </w:rPr>
              <w:t>3:50</w:t>
            </w:r>
          </w:p>
        </w:tc>
        <w:tc>
          <w:tcPr>
            <w:tcW w:w="4320" w:type="dxa"/>
          </w:tcPr>
          <w:p w14:paraId="006600F5" w14:textId="77777777" w:rsidR="004E3ABC" w:rsidRDefault="00000000">
            <w:r>
              <w:rPr>
                <w:rFonts w:ascii="Manrope" w:hAnsi="Manrope"/>
                <w:sz w:val="20"/>
              </w:rPr>
              <w:t>This explainer uses Dan Siegel's hand model of the brain — a visual tool using the hand to represent brain structures — to show how heightened emotion can affect thinking, self-regulation, and behaviour.</w:t>
            </w:r>
          </w:p>
        </w:tc>
        <w:tc>
          <w:tcPr>
            <w:tcW w:w="5040" w:type="dxa"/>
          </w:tcPr>
          <w:p w14:paraId="643F58F2" w14:textId="77777777" w:rsidR="004E3ABC" w:rsidRDefault="00000000">
            <w:pPr>
              <w:pStyle w:val="ListBullet"/>
            </w:pPr>
            <w:r>
              <w:rPr>
                <w:rFonts w:ascii="Manrope" w:hAnsi="Manrope"/>
                <w:sz w:val="20"/>
              </w:rPr>
              <w:t>Introduces a simple visual model for understanding stress and emotional regulation (the ability to manage one's feelings and responses).</w:t>
            </w:r>
          </w:p>
          <w:p w14:paraId="6D44209E" w14:textId="77777777" w:rsidR="004E3ABC" w:rsidRDefault="00000000">
            <w:pPr>
              <w:pStyle w:val="ListBullet"/>
            </w:pPr>
            <w:r>
              <w:rPr>
                <w:rFonts w:ascii="Manrope" w:hAnsi="Manrope"/>
                <w:sz w:val="20"/>
              </w:rPr>
              <w:t>Shows how emotional intensity can reduce access to thinking and self-management.</w:t>
            </w:r>
          </w:p>
          <w:p w14:paraId="69A43A6B" w14:textId="77777777" w:rsidR="004E3ABC" w:rsidRDefault="00000000">
            <w:pPr>
              <w:pStyle w:val="ListBullet"/>
            </w:pPr>
            <w:r>
              <w:rPr>
                <w:rFonts w:ascii="Manrope" w:hAnsi="Manrope"/>
                <w:sz w:val="20"/>
              </w:rPr>
              <w:t>Supports more compassionate responses to behaviour during dysregulation (when a person is overwhelmed and unable to self-regulate).</w:t>
            </w:r>
          </w:p>
        </w:tc>
      </w:tr>
      <w:tr w:rsidR="004E3ABC" w14:paraId="611A14F6" w14:textId="77777777">
        <w:trPr>
          <w:jc w:val="center"/>
        </w:trPr>
        <w:tc>
          <w:tcPr>
            <w:tcW w:w="2880" w:type="dxa"/>
          </w:tcPr>
          <w:p w14:paraId="369F28A6" w14:textId="77777777" w:rsidR="004E3ABC" w:rsidRDefault="00000000">
            <w:r>
              <w:rPr>
                <w:rFonts w:ascii="Manrope" w:hAnsi="Manrope"/>
                <w:sz w:val="20"/>
              </w:rPr>
              <w:t>Making observations</w:t>
            </w:r>
          </w:p>
        </w:tc>
        <w:tc>
          <w:tcPr>
            <w:tcW w:w="1440" w:type="dxa"/>
          </w:tcPr>
          <w:p w14:paraId="12E74598" w14:textId="77777777" w:rsidR="004E3ABC" w:rsidRDefault="00000000">
            <w:r>
              <w:rPr>
                <w:rFonts w:ascii="Manrope" w:hAnsi="Manrope"/>
                <w:sz w:val="20"/>
              </w:rPr>
              <w:t>22</w:t>
            </w:r>
          </w:p>
        </w:tc>
        <w:tc>
          <w:tcPr>
            <w:tcW w:w="1440" w:type="dxa"/>
          </w:tcPr>
          <w:p w14:paraId="4D65912A" w14:textId="77777777" w:rsidR="004E3ABC" w:rsidRDefault="00000000">
            <w:r>
              <w:rPr>
                <w:rFonts w:ascii="Manrope" w:hAnsi="Manrope"/>
                <w:sz w:val="20"/>
              </w:rPr>
              <w:t>3:25</w:t>
            </w:r>
          </w:p>
        </w:tc>
        <w:tc>
          <w:tcPr>
            <w:tcW w:w="4320" w:type="dxa"/>
          </w:tcPr>
          <w:p w14:paraId="4C7ED3E5" w14:textId="77777777" w:rsidR="004E3ABC" w:rsidRDefault="00000000">
            <w:r>
              <w:rPr>
                <w:rFonts w:ascii="Manrope" w:hAnsi="Manrope"/>
                <w:sz w:val="20"/>
              </w:rPr>
              <w:t>This clip demonstrates how careful observation can help adults understand behaviour patterns and the conditions in which behaviours are more or less likely to happen.</w:t>
            </w:r>
          </w:p>
        </w:tc>
        <w:tc>
          <w:tcPr>
            <w:tcW w:w="5040" w:type="dxa"/>
          </w:tcPr>
          <w:p w14:paraId="3893D7A7" w14:textId="77777777" w:rsidR="004E3ABC" w:rsidRDefault="00000000">
            <w:pPr>
              <w:pStyle w:val="ListBullet"/>
            </w:pPr>
            <w:r>
              <w:rPr>
                <w:rFonts w:ascii="Manrope" w:hAnsi="Manrope"/>
                <w:sz w:val="20"/>
              </w:rPr>
              <w:t>Promotes observation before interpretation or judgment.</w:t>
            </w:r>
          </w:p>
          <w:p w14:paraId="1AC4E4E2" w14:textId="77777777" w:rsidR="004E3ABC" w:rsidRDefault="00000000">
            <w:pPr>
              <w:pStyle w:val="ListBullet"/>
            </w:pPr>
            <w:r>
              <w:rPr>
                <w:rFonts w:ascii="Manrope" w:hAnsi="Manrope"/>
                <w:sz w:val="20"/>
              </w:rPr>
              <w:t>Encourages looking at triggers, context, and patterns around behaviour.</w:t>
            </w:r>
          </w:p>
          <w:p w14:paraId="0E8D62F5" w14:textId="77777777" w:rsidR="004E3ABC" w:rsidRDefault="00000000">
            <w:pPr>
              <w:pStyle w:val="ListBullet"/>
            </w:pPr>
            <w:r>
              <w:rPr>
                <w:rFonts w:ascii="Manrope" w:hAnsi="Manrope"/>
                <w:sz w:val="20"/>
              </w:rPr>
              <w:t>Supports more informed, less reactive planning for behaviour support.</w:t>
            </w:r>
          </w:p>
        </w:tc>
      </w:tr>
    </w:tbl>
    <w:p w14:paraId="40A317E7" w14:textId="77777777" w:rsidR="004E3ABC" w:rsidRDefault="004E3ABC"/>
    <w:p w14:paraId="4BD8E065" w14:textId="77777777" w:rsidR="004E3ABC" w:rsidRDefault="00000000">
      <w:r>
        <w:rPr>
          <w:rFonts w:ascii="Fraunces" w:hAnsi="Fraunces"/>
          <w:b/>
          <w:color w:val="712D90"/>
          <w:sz w:val="30"/>
        </w:rPr>
        <w:t>Session 6: Working in Partnerships</w:t>
      </w:r>
    </w:p>
    <w:tbl>
      <w:tblPr>
        <w:tblStyle w:val="TableGrid"/>
        <w:tblW w:w="0" w:type="auto"/>
        <w:jc w:val="center"/>
        <w:tblLayout w:type="fixed"/>
        <w:tblLook w:val="04A0" w:firstRow="1" w:lastRow="0" w:firstColumn="1" w:lastColumn="0" w:noHBand="0" w:noVBand="1"/>
      </w:tblPr>
      <w:tblGrid>
        <w:gridCol w:w="2880"/>
        <w:gridCol w:w="1440"/>
        <w:gridCol w:w="1440"/>
        <w:gridCol w:w="4320"/>
        <w:gridCol w:w="5040"/>
      </w:tblGrid>
      <w:tr w:rsidR="004E3ABC" w14:paraId="56C7D94D" w14:textId="77777777">
        <w:trPr>
          <w:jc w:val="center"/>
        </w:trPr>
        <w:tc>
          <w:tcPr>
            <w:tcW w:w="2880" w:type="dxa"/>
            <w:shd w:val="clear" w:color="auto" w:fill="E9DDF2"/>
          </w:tcPr>
          <w:p w14:paraId="5A25569C" w14:textId="77777777" w:rsidR="004E3ABC" w:rsidRDefault="00000000">
            <w:r>
              <w:rPr>
                <w:rFonts w:ascii="Manrope" w:hAnsi="Manrope"/>
                <w:b/>
                <w:sz w:val="20"/>
              </w:rPr>
              <w:t>Video Name</w:t>
            </w:r>
          </w:p>
        </w:tc>
        <w:tc>
          <w:tcPr>
            <w:tcW w:w="1440" w:type="dxa"/>
            <w:shd w:val="clear" w:color="auto" w:fill="E9DDF2"/>
          </w:tcPr>
          <w:p w14:paraId="6578894B" w14:textId="77777777" w:rsidR="004E3ABC" w:rsidRDefault="00000000">
            <w:r>
              <w:rPr>
                <w:rFonts w:ascii="Manrope" w:hAnsi="Manrope"/>
                <w:b/>
                <w:sz w:val="20"/>
              </w:rPr>
              <w:t>Slide Number</w:t>
            </w:r>
          </w:p>
        </w:tc>
        <w:tc>
          <w:tcPr>
            <w:tcW w:w="1440" w:type="dxa"/>
            <w:shd w:val="clear" w:color="auto" w:fill="E9DDF2"/>
          </w:tcPr>
          <w:p w14:paraId="5C37EE4B" w14:textId="77777777" w:rsidR="004E3ABC" w:rsidRDefault="00000000">
            <w:r>
              <w:rPr>
                <w:rFonts w:ascii="Manrope" w:hAnsi="Manrope"/>
                <w:b/>
                <w:sz w:val="20"/>
              </w:rPr>
              <w:t>Duration</w:t>
            </w:r>
          </w:p>
        </w:tc>
        <w:tc>
          <w:tcPr>
            <w:tcW w:w="4320" w:type="dxa"/>
            <w:shd w:val="clear" w:color="auto" w:fill="E9DDF2"/>
          </w:tcPr>
          <w:p w14:paraId="68BD8A3C" w14:textId="77777777" w:rsidR="004E3ABC" w:rsidRDefault="00000000">
            <w:r>
              <w:rPr>
                <w:rFonts w:ascii="Manrope" w:hAnsi="Manrope"/>
                <w:b/>
                <w:sz w:val="20"/>
              </w:rPr>
              <w:t>Summary</w:t>
            </w:r>
          </w:p>
        </w:tc>
        <w:tc>
          <w:tcPr>
            <w:tcW w:w="5040" w:type="dxa"/>
            <w:shd w:val="clear" w:color="auto" w:fill="E9DDF2"/>
          </w:tcPr>
          <w:p w14:paraId="4A6D1B94" w14:textId="77777777" w:rsidR="004E3ABC" w:rsidRDefault="00000000">
            <w:r>
              <w:rPr>
                <w:rFonts w:ascii="Manrope" w:hAnsi="Manrope"/>
                <w:b/>
                <w:sz w:val="20"/>
              </w:rPr>
              <w:t>Key Concepts</w:t>
            </w:r>
          </w:p>
        </w:tc>
      </w:tr>
      <w:tr w:rsidR="004E3ABC" w14:paraId="6CBED4A0" w14:textId="77777777">
        <w:trPr>
          <w:jc w:val="center"/>
        </w:trPr>
        <w:tc>
          <w:tcPr>
            <w:tcW w:w="2880" w:type="dxa"/>
          </w:tcPr>
          <w:p w14:paraId="4BE84553" w14:textId="77777777" w:rsidR="004E3ABC" w:rsidRDefault="00000000">
            <w:r>
              <w:rPr>
                <w:rFonts w:ascii="Manrope" w:hAnsi="Manrope"/>
                <w:sz w:val="20"/>
              </w:rPr>
              <w:t>Disability Standards for Education</w:t>
            </w:r>
          </w:p>
        </w:tc>
        <w:tc>
          <w:tcPr>
            <w:tcW w:w="1440" w:type="dxa"/>
          </w:tcPr>
          <w:p w14:paraId="28B85FA3" w14:textId="77777777" w:rsidR="004E3ABC" w:rsidRDefault="00000000">
            <w:r>
              <w:rPr>
                <w:rFonts w:ascii="Manrope" w:hAnsi="Manrope"/>
                <w:sz w:val="20"/>
              </w:rPr>
              <w:t>4</w:t>
            </w:r>
          </w:p>
        </w:tc>
        <w:tc>
          <w:tcPr>
            <w:tcW w:w="1440" w:type="dxa"/>
          </w:tcPr>
          <w:p w14:paraId="4439CBED" w14:textId="77777777" w:rsidR="004E3ABC" w:rsidRDefault="00000000">
            <w:r>
              <w:rPr>
                <w:rFonts w:ascii="Manrope" w:hAnsi="Manrope"/>
                <w:sz w:val="20"/>
              </w:rPr>
              <w:t>2:00</w:t>
            </w:r>
          </w:p>
        </w:tc>
        <w:tc>
          <w:tcPr>
            <w:tcW w:w="4320" w:type="dxa"/>
          </w:tcPr>
          <w:p w14:paraId="78512986" w14:textId="77777777" w:rsidR="004E3ABC" w:rsidRDefault="00000000">
            <w:r>
              <w:rPr>
                <w:rFonts w:ascii="Manrope" w:hAnsi="Manrope"/>
                <w:sz w:val="20"/>
              </w:rPr>
              <w:t>This short explainer introduces the legal obligations schools have under the Disability Standards for Education (DSE, 2005) and why they matter in practice.</w:t>
            </w:r>
          </w:p>
        </w:tc>
        <w:tc>
          <w:tcPr>
            <w:tcW w:w="5040" w:type="dxa"/>
          </w:tcPr>
          <w:p w14:paraId="5CB2DF22" w14:textId="77777777" w:rsidR="004E3ABC" w:rsidRDefault="00000000">
            <w:pPr>
              <w:pStyle w:val="ListBullet"/>
            </w:pPr>
            <w:r>
              <w:rPr>
                <w:rFonts w:ascii="Manrope" w:hAnsi="Manrope"/>
                <w:sz w:val="20"/>
              </w:rPr>
              <w:t>Explains that the Standards are legal responsibilities, not optional supports.</w:t>
            </w:r>
          </w:p>
          <w:p w14:paraId="5526F2F1" w14:textId="77777777" w:rsidR="004E3ABC" w:rsidRDefault="00000000">
            <w:pPr>
              <w:pStyle w:val="ListBullet"/>
            </w:pPr>
            <w:r>
              <w:rPr>
                <w:rFonts w:ascii="Manrope" w:hAnsi="Manrope"/>
                <w:sz w:val="20"/>
              </w:rPr>
              <w:t>Highlights consultation, reasonable adjustments (changes schools must make to give students with disability fair access to education), and protection from discrimination.</w:t>
            </w:r>
          </w:p>
          <w:p w14:paraId="5242EE5A" w14:textId="77777777" w:rsidR="004E3ABC" w:rsidRDefault="00000000">
            <w:pPr>
              <w:pStyle w:val="ListBullet"/>
            </w:pPr>
            <w:r>
              <w:rPr>
                <w:rFonts w:ascii="Manrope" w:hAnsi="Manrope"/>
                <w:sz w:val="20"/>
              </w:rPr>
              <w:t>Provides a practical starting point for understanding rights and responsibilities in education.</w:t>
            </w:r>
          </w:p>
        </w:tc>
      </w:tr>
      <w:tr w:rsidR="004E3ABC" w14:paraId="10D533A9" w14:textId="77777777">
        <w:trPr>
          <w:jc w:val="center"/>
        </w:trPr>
        <w:tc>
          <w:tcPr>
            <w:tcW w:w="2880" w:type="dxa"/>
          </w:tcPr>
          <w:p w14:paraId="6FEFE779" w14:textId="77777777" w:rsidR="004E3ABC" w:rsidRDefault="00000000">
            <w:r>
              <w:rPr>
                <w:rFonts w:ascii="Manrope" w:hAnsi="Manrope"/>
                <w:sz w:val="20"/>
              </w:rPr>
              <w:t>DSE Roles and Expectations</w:t>
            </w:r>
          </w:p>
        </w:tc>
        <w:tc>
          <w:tcPr>
            <w:tcW w:w="1440" w:type="dxa"/>
          </w:tcPr>
          <w:p w14:paraId="618FF5A1" w14:textId="77777777" w:rsidR="004E3ABC" w:rsidRDefault="00000000">
            <w:r>
              <w:rPr>
                <w:rFonts w:ascii="Manrope" w:hAnsi="Manrope"/>
                <w:sz w:val="20"/>
              </w:rPr>
              <w:t>6</w:t>
            </w:r>
          </w:p>
        </w:tc>
        <w:tc>
          <w:tcPr>
            <w:tcW w:w="1440" w:type="dxa"/>
          </w:tcPr>
          <w:p w14:paraId="6ACF183F" w14:textId="77777777" w:rsidR="004E3ABC" w:rsidRDefault="00000000">
            <w:r>
              <w:rPr>
                <w:rFonts w:ascii="Manrope" w:hAnsi="Manrope"/>
                <w:sz w:val="20"/>
              </w:rPr>
              <w:t>TBC</w:t>
            </w:r>
          </w:p>
        </w:tc>
        <w:tc>
          <w:tcPr>
            <w:tcW w:w="4320" w:type="dxa"/>
          </w:tcPr>
          <w:p w14:paraId="25E22545" w14:textId="77777777" w:rsidR="004E3ABC" w:rsidRDefault="00000000">
            <w:r>
              <w:rPr>
                <w:rFonts w:ascii="Manrope" w:hAnsi="Manrope"/>
                <w:sz w:val="20"/>
              </w:rPr>
              <w:t>An example-based clip shows how schools and families can work together in ways that align with the Disability Standards for Education (DSE) and the NCCD (Nationally Consistent Collection of Data on School Students with Disability) documentation approach.</w:t>
            </w:r>
          </w:p>
        </w:tc>
        <w:tc>
          <w:tcPr>
            <w:tcW w:w="5040" w:type="dxa"/>
          </w:tcPr>
          <w:p w14:paraId="6FBC8F9F" w14:textId="77777777" w:rsidR="004E3ABC" w:rsidRDefault="00000000">
            <w:pPr>
              <w:pStyle w:val="ListBullet"/>
            </w:pPr>
            <w:r>
              <w:rPr>
                <w:rFonts w:ascii="Manrope" w:hAnsi="Manrope"/>
                <w:sz w:val="20"/>
              </w:rPr>
              <w:t>Demonstrates partnership in action rather than only describing the law.</w:t>
            </w:r>
          </w:p>
          <w:p w14:paraId="2FDEB283" w14:textId="77777777" w:rsidR="004E3ABC" w:rsidRDefault="00000000">
            <w:pPr>
              <w:pStyle w:val="ListBullet"/>
            </w:pPr>
            <w:r>
              <w:rPr>
                <w:rFonts w:ascii="Manrope" w:hAnsi="Manrope"/>
                <w:sz w:val="20"/>
              </w:rPr>
              <w:t>Shows the role of communication, consultation, and shared understanding.</w:t>
            </w:r>
          </w:p>
          <w:p w14:paraId="0D7306B6" w14:textId="77777777" w:rsidR="004E3ABC" w:rsidRDefault="00000000">
            <w:pPr>
              <w:pStyle w:val="ListBullet"/>
            </w:pPr>
            <w:r>
              <w:rPr>
                <w:rFonts w:ascii="Manrope" w:hAnsi="Manrope"/>
                <w:sz w:val="20"/>
              </w:rPr>
              <w:t>Helps participants connect legal obligations under the DSE to everyday school practice.</w:t>
            </w:r>
          </w:p>
        </w:tc>
      </w:tr>
      <w:tr w:rsidR="004E3ABC" w14:paraId="5BC57078" w14:textId="77777777">
        <w:trPr>
          <w:jc w:val="center"/>
        </w:trPr>
        <w:tc>
          <w:tcPr>
            <w:tcW w:w="2880" w:type="dxa"/>
          </w:tcPr>
          <w:p w14:paraId="5E2B8F11" w14:textId="77777777" w:rsidR="004E3ABC" w:rsidRDefault="00000000">
            <w:r>
              <w:rPr>
                <w:rFonts w:ascii="Manrope" w:hAnsi="Manrope"/>
                <w:sz w:val="20"/>
              </w:rPr>
              <w:t>Moving Forward</w:t>
            </w:r>
          </w:p>
        </w:tc>
        <w:tc>
          <w:tcPr>
            <w:tcW w:w="1440" w:type="dxa"/>
          </w:tcPr>
          <w:p w14:paraId="481C739D" w14:textId="77777777" w:rsidR="004E3ABC" w:rsidRDefault="00000000">
            <w:r>
              <w:rPr>
                <w:rFonts w:ascii="Manrope" w:hAnsi="Manrope"/>
                <w:sz w:val="20"/>
              </w:rPr>
              <w:t>24</w:t>
            </w:r>
          </w:p>
        </w:tc>
        <w:tc>
          <w:tcPr>
            <w:tcW w:w="1440" w:type="dxa"/>
          </w:tcPr>
          <w:p w14:paraId="068C3238" w14:textId="77777777" w:rsidR="004E3ABC" w:rsidRDefault="00000000">
            <w:r>
              <w:rPr>
                <w:rFonts w:ascii="Manrope" w:hAnsi="Manrope"/>
                <w:sz w:val="20"/>
              </w:rPr>
              <w:t>2:30</w:t>
            </w:r>
          </w:p>
        </w:tc>
        <w:tc>
          <w:tcPr>
            <w:tcW w:w="4320" w:type="dxa"/>
          </w:tcPr>
          <w:p w14:paraId="4B6F3C33" w14:textId="77777777" w:rsidR="004E3ABC" w:rsidRDefault="00000000">
            <w:r>
              <w:rPr>
                <w:rFonts w:ascii="Manrope" w:hAnsi="Manrope"/>
                <w:sz w:val="20"/>
              </w:rPr>
              <w:t xml:space="preserve">A family and school team close the session by </w:t>
            </w:r>
            <w:r>
              <w:rPr>
                <w:rFonts w:ascii="Manrope" w:hAnsi="Manrope"/>
                <w:sz w:val="20"/>
              </w:rPr>
              <w:lastRenderedPageBreak/>
              <w:t>reflecting on what genuine collaboration looks like in practice — shared goals, open communication, and a continued focus on the young person.</w:t>
            </w:r>
          </w:p>
        </w:tc>
        <w:tc>
          <w:tcPr>
            <w:tcW w:w="5040" w:type="dxa"/>
          </w:tcPr>
          <w:p w14:paraId="056550AA" w14:textId="77777777" w:rsidR="004E3ABC" w:rsidRDefault="00000000">
            <w:pPr>
              <w:pStyle w:val="ListBullet"/>
            </w:pPr>
            <w:r>
              <w:rPr>
                <w:rFonts w:ascii="Manrope" w:hAnsi="Manrope"/>
                <w:sz w:val="20"/>
              </w:rPr>
              <w:lastRenderedPageBreak/>
              <w:t xml:space="preserve">Reinforces the importance of ongoing collaboration </w:t>
            </w:r>
            <w:r>
              <w:rPr>
                <w:rFonts w:ascii="Manrope" w:hAnsi="Manrope"/>
                <w:sz w:val="20"/>
              </w:rPr>
              <w:lastRenderedPageBreak/>
              <w:t>between home and school.</w:t>
            </w:r>
          </w:p>
          <w:p w14:paraId="1AD43EF6" w14:textId="77777777" w:rsidR="004E3ABC" w:rsidRDefault="00000000">
            <w:pPr>
              <w:pStyle w:val="ListBullet"/>
            </w:pPr>
            <w:r>
              <w:rPr>
                <w:rFonts w:ascii="Manrope" w:hAnsi="Manrope"/>
                <w:sz w:val="20"/>
              </w:rPr>
              <w:t>Highlights communication, trust, and a shared focus on the young person's needs and goals.</w:t>
            </w:r>
          </w:p>
          <w:p w14:paraId="5B80157E" w14:textId="77777777" w:rsidR="004E3ABC" w:rsidRDefault="00000000">
            <w:pPr>
              <w:pStyle w:val="ListBullet"/>
            </w:pPr>
            <w:r>
              <w:rPr>
                <w:rFonts w:ascii="Manrope" w:hAnsi="Manrope"/>
                <w:sz w:val="20"/>
              </w:rPr>
              <w:t>Leaves participants with a concrete picture of positive partnership in action.</w:t>
            </w:r>
          </w:p>
        </w:tc>
      </w:tr>
    </w:tbl>
    <w:p w14:paraId="40788270" w14:textId="77777777" w:rsidR="00EE1659" w:rsidRDefault="00EE1659"/>
    <w:sectPr w:rsidR="00EE1659"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raunces">
    <w:altName w:val="Cambria"/>
    <w:panose1 w:val="020B0604020202020204"/>
    <w:charset w:val="00"/>
    <w:family w:val="roman"/>
    <w:notTrueType/>
    <w:pitch w:val="default"/>
  </w:font>
  <w:font w:name="Manrop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894663">
    <w:abstractNumId w:val="8"/>
  </w:num>
  <w:num w:numId="2" w16cid:durableId="486364650">
    <w:abstractNumId w:val="6"/>
  </w:num>
  <w:num w:numId="3" w16cid:durableId="2033988887">
    <w:abstractNumId w:val="5"/>
  </w:num>
  <w:num w:numId="4" w16cid:durableId="1985969869">
    <w:abstractNumId w:val="4"/>
  </w:num>
  <w:num w:numId="5" w16cid:durableId="1370960525">
    <w:abstractNumId w:val="7"/>
  </w:num>
  <w:num w:numId="6" w16cid:durableId="529877177">
    <w:abstractNumId w:val="3"/>
  </w:num>
  <w:num w:numId="7" w16cid:durableId="75787467">
    <w:abstractNumId w:val="2"/>
  </w:num>
  <w:num w:numId="8" w16cid:durableId="1998797755">
    <w:abstractNumId w:val="1"/>
  </w:num>
  <w:num w:numId="9" w16cid:durableId="1836990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09"/>
    <w:rsid w:val="0006063C"/>
    <w:rsid w:val="0015074B"/>
    <w:rsid w:val="0029639D"/>
    <w:rsid w:val="00326F90"/>
    <w:rsid w:val="004E3ABC"/>
    <w:rsid w:val="00AA1D8D"/>
    <w:rsid w:val="00B4028A"/>
    <w:rsid w:val="00B47730"/>
    <w:rsid w:val="00CB0664"/>
    <w:rsid w:val="00EE1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74090"/>
  <w14:defaultImageDpi w14:val="300"/>
  <w15:docId w15:val="{CF0BFA06-7EF7-0642-9599-0109BD9D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1314</Words>
  <Characters>8254</Characters>
  <Application>Microsoft Office Word</Application>
  <DocSecurity>0</DocSecurity>
  <Lines>330</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Craig Smith</cp:lastModifiedBy>
  <cp:revision>2</cp:revision>
  <dcterms:created xsi:type="dcterms:W3CDTF">2013-12-23T23:15:00Z</dcterms:created>
  <dcterms:modified xsi:type="dcterms:W3CDTF">2026-03-09T11:23:00Z</dcterms:modified>
  <cp:category/>
</cp:coreProperties>
</file>