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6644" w14:textId="4FB0219C" w:rsidR="00964A98" w:rsidRDefault="00000000">
      <w:r>
        <w:rPr>
          <w:rFonts w:ascii="Fraunces" w:hAnsi="Fraunces"/>
          <w:b/>
          <w:color w:val="330044"/>
          <w:sz w:val="44"/>
        </w:rPr>
        <w:t>1 Day PC Video Quick Reference</w:t>
      </w:r>
    </w:p>
    <w:p w14:paraId="7117F9F8" w14:textId="77777777" w:rsidR="00964A98" w:rsidRDefault="00000000">
      <w:r>
        <w:rPr>
          <w:rFonts w:ascii="Fraunces" w:hAnsi="Fraunces"/>
          <w:b/>
          <w:color w:val="712D90"/>
          <w:sz w:val="30"/>
        </w:rPr>
        <w:t>Session 1: Welcome and Introductions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296"/>
        <w:gridCol w:w="1296"/>
        <w:gridCol w:w="3888"/>
        <w:gridCol w:w="4176"/>
      </w:tblGrid>
      <w:tr w:rsidR="00964A98" w14:paraId="26431ECE" w14:textId="77777777">
        <w:trPr>
          <w:jc w:val="center"/>
        </w:trPr>
        <w:tc>
          <w:tcPr>
            <w:tcW w:w="2448" w:type="dxa"/>
            <w:shd w:val="clear" w:color="auto" w:fill="E9DDF2"/>
          </w:tcPr>
          <w:p w14:paraId="3FDD92EF" w14:textId="77777777" w:rsidR="00964A98" w:rsidRDefault="00000000">
            <w:r>
              <w:rPr>
                <w:rFonts w:ascii="Manrope" w:hAnsi="Manrope"/>
                <w:b/>
                <w:sz w:val="20"/>
              </w:rPr>
              <w:t>Video Name</w:t>
            </w:r>
          </w:p>
        </w:tc>
        <w:tc>
          <w:tcPr>
            <w:tcW w:w="1296" w:type="dxa"/>
            <w:shd w:val="clear" w:color="auto" w:fill="E9DDF2"/>
          </w:tcPr>
          <w:p w14:paraId="325AAD9F" w14:textId="77777777" w:rsidR="00964A98" w:rsidRDefault="00000000">
            <w:r>
              <w:rPr>
                <w:rFonts w:ascii="Manrope" w:hAnsi="Manrope"/>
                <w:b/>
                <w:sz w:val="20"/>
              </w:rPr>
              <w:t>Slide Number</w:t>
            </w:r>
          </w:p>
        </w:tc>
        <w:tc>
          <w:tcPr>
            <w:tcW w:w="1296" w:type="dxa"/>
            <w:shd w:val="clear" w:color="auto" w:fill="E9DDF2"/>
          </w:tcPr>
          <w:p w14:paraId="5BC37B96" w14:textId="77777777" w:rsidR="00964A98" w:rsidRDefault="00000000">
            <w:r>
              <w:rPr>
                <w:rFonts w:ascii="Manrope" w:hAnsi="Manrope"/>
                <w:b/>
                <w:sz w:val="20"/>
              </w:rPr>
              <w:t>Duration</w:t>
            </w:r>
          </w:p>
        </w:tc>
        <w:tc>
          <w:tcPr>
            <w:tcW w:w="3888" w:type="dxa"/>
            <w:shd w:val="clear" w:color="auto" w:fill="E9DDF2"/>
          </w:tcPr>
          <w:p w14:paraId="756906A0" w14:textId="77777777" w:rsidR="00964A98" w:rsidRDefault="00000000">
            <w:r>
              <w:rPr>
                <w:rFonts w:ascii="Manrope" w:hAnsi="Manrope"/>
                <w:b/>
                <w:sz w:val="20"/>
              </w:rPr>
              <w:t>Summary</w:t>
            </w:r>
          </w:p>
        </w:tc>
        <w:tc>
          <w:tcPr>
            <w:tcW w:w="4176" w:type="dxa"/>
            <w:shd w:val="clear" w:color="auto" w:fill="E9DDF2"/>
          </w:tcPr>
          <w:p w14:paraId="59301FDC" w14:textId="77777777" w:rsidR="00964A98" w:rsidRDefault="00000000">
            <w:r>
              <w:rPr>
                <w:rFonts w:ascii="Manrope" w:hAnsi="Manrope"/>
                <w:b/>
                <w:sz w:val="20"/>
              </w:rPr>
              <w:t>Key Concepts</w:t>
            </w:r>
          </w:p>
        </w:tc>
      </w:tr>
      <w:tr w:rsidR="00964A98" w14:paraId="7F7E1C28" w14:textId="77777777">
        <w:trPr>
          <w:jc w:val="center"/>
        </w:trPr>
        <w:tc>
          <w:tcPr>
            <w:tcW w:w="2448" w:type="dxa"/>
          </w:tcPr>
          <w:p w14:paraId="78017D2E" w14:textId="77777777" w:rsidR="00964A98" w:rsidRDefault="00000000">
            <w:r>
              <w:rPr>
                <w:rFonts w:ascii="Manrope" w:hAnsi="Manrope"/>
                <w:sz w:val="20"/>
              </w:rPr>
              <w:t>Language and Autism</w:t>
            </w:r>
          </w:p>
        </w:tc>
        <w:tc>
          <w:tcPr>
            <w:tcW w:w="1296" w:type="dxa"/>
          </w:tcPr>
          <w:p w14:paraId="6C2C3E53" w14:textId="77777777" w:rsidR="00964A98" w:rsidRDefault="00000000">
            <w:r>
              <w:rPr>
                <w:rFonts w:ascii="Manrope" w:hAnsi="Manrope"/>
                <w:sz w:val="20"/>
              </w:rPr>
              <w:t>11</w:t>
            </w:r>
          </w:p>
        </w:tc>
        <w:tc>
          <w:tcPr>
            <w:tcW w:w="1296" w:type="dxa"/>
          </w:tcPr>
          <w:p w14:paraId="785FF6A7" w14:textId="77777777" w:rsidR="00964A98" w:rsidRDefault="00000000">
            <w:r>
              <w:rPr>
                <w:rFonts w:ascii="Manrope" w:hAnsi="Manrope"/>
                <w:sz w:val="20"/>
              </w:rPr>
              <w:t>3:45</w:t>
            </w:r>
          </w:p>
        </w:tc>
        <w:tc>
          <w:tcPr>
            <w:tcW w:w="3888" w:type="dxa"/>
          </w:tcPr>
          <w:p w14:paraId="1486524B" w14:textId="77777777" w:rsidR="00964A98" w:rsidRDefault="00000000">
            <w:r>
              <w:rPr>
                <w:rFonts w:ascii="Manrope" w:hAnsi="Manrope"/>
                <w:sz w:val="20"/>
              </w:rPr>
              <w:t>Thomas Kuzma reflects on the language autistic people use to describe themselves and why identity-first versus person-first language matters.</w:t>
            </w:r>
          </w:p>
        </w:tc>
        <w:tc>
          <w:tcPr>
            <w:tcW w:w="4176" w:type="dxa"/>
          </w:tcPr>
          <w:p w14:paraId="000FB0D6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Language shapes identity, dignity, and self-understanding.</w:t>
            </w:r>
          </w:p>
          <w:p w14:paraId="74FFADF2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Identity-first and person-first language can reflect different perspectives and preferences.</w:t>
            </w:r>
          </w:p>
          <w:p w14:paraId="0FC12391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Individual preference should guide respectful language choices.</w:t>
            </w:r>
          </w:p>
        </w:tc>
      </w:tr>
      <w:tr w:rsidR="00964A98" w14:paraId="43BC5236" w14:textId="77777777">
        <w:trPr>
          <w:jc w:val="center"/>
        </w:trPr>
        <w:tc>
          <w:tcPr>
            <w:tcW w:w="2448" w:type="dxa"/>
          </w:tcPr>
          <w:p w14:paraId="240B2A5C" w14:textId="77777777" w:rsidR="00964A98" w:rsidRDefault="00000000">
            <w:r>
              <w:rPr>
                <w:rFonts w:ascii="Manrope" w:hAnsi="Manrope"/>
                <w:sz w:val="20"/>
              </w:rPr>
              <w:t>Having a say</w:t>
            </w:r>
          </w:p>
        </w:tc>
        <w:tc>
          <w:tcPr>
            <w:tcW w:w="1296" w:type="dxa"/>
          </w:tcPr>
          <w:p w14:paraId="5B64E09D" w14:textId="77777777" w:rsidR="00964A98" w:rsidRDefault="00000000">
            <w:r>
              <w:rPr>
                <w:rFonts w:ascii="Manrope" w:hAnsi="Manrope"/>
                <w:sz w:val="20"/>
              </w:rPr>
              <w:t>14</w:t>
            </w:r>
          </w:p>
        </w:tc>
        <w:tc>
          <w:tcPr>
            <w:tcW w:w="1296" w:type="dxa"/>
          </w:tcPr>
          <w:p w14:paraId="4809D508" w14:textId="77777777" w:rsidR="00964A98" w:rsidRDefault="00000000">
            <w:r>
              <w:rPr>
                <w:rFonts w:ascii="Manrope" w:hAnsi="Manrope"/>
                <w:sz w:val="20"/>
              </w:rPr>
              <w:t>3:14</w:t>
            </w:r>
          </w:p>
        </w:tc>
        <w:tc>
          <w:tcPr>
            <w:tcW w:w="3888" w:type="dxa"/>
          </w:tcPr>
          <w:p w14:paraId="3C3E6042" w14:textId="77777777" w:rsidR="00964A98" w:rsidRDefault="00000000">
            <w:r>
              <w:rPr>
                <w:rFonts w:ascii="Manrope" w:hAnsi="Manrope"/>
                <w:sz w:val="20"/>
              </w:rPr>
              <w:t>This clip focuses on student voice and the importance of understanding how autistic young people communicate what helps them learn best.</w:t>
            </w:r>
          </w:p>
        </w:tc>
        <w:tc>
          <w:tcPr>
            <w:tcW w:w="4176" w:type="dxa"/>
          </w:tcPr>
          <w:p w14:paraId="3FFFA156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The young person should be treated as an active contributor to learning decisions.</w:t>
            </w:r>
          </w:p>
          <w:p w14:paraId="4CDD4685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Adults need to ask how a student learns rather than assume.</w:t>
            </w:r>
          </w:p>
          <w:p w14:paraId="5FE733D5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Student voice strengthens collaboration between families and educators.</w:t>
            </w:r>
          </w:p>
        </w:tc>
      </w:tr>
    </w:tbl>
    <w:p w14:paraId="2AAAC7AC" w14:textId="77777777" w:rsidR="00964A98" w:rsidRDefault="00964A98"/>
    <w:p w14:paraId="74BAD418" w14:textId="77777777" w:rsidR="00964A98" w:rsidRDefault="00000000">
      <w:r>
        <w:rPr>
          <w:rFonts w:ascii="Fraunces" w:hAnsi="Fraunces"/>
          <w:b/>
          <w:color w:val="712D90"/>
          <w:sz w:val="30"/>
        </w:rPr>
        <w:t>Session 2: Diversity of autism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296"/>
        <w:gridCol w:w="1296"/>
        <w:gridCol w:w="3888"/>
        <w:gridCol w:w="4176"/>
      </w:tblGrid>
      <w:tr w:rsidR="00964A98" w14:paraId="4C45CF02" w14:textId="77777777">
        <w:trPr>
          <w:jc w:val="center"/>
        </w:trPr>
        <w:tc>
          <w:tcPr>
            <w:tcW w:w="2448" w:type="dxa"/>
            <w:shd w:val="clear" w:color="auto" w:fill="E9DDF2"/>
          </w:tcPr>
          <w:p w14:paraId="3E6788EA" w14:textId="77777777" w:rsidR="00964A98" w:rsidRDefault="00000000">
            <w:r>
              <w:rPr>
                <w:rFonts w:ascii="Manrope" w:hAnsi="Manrope"/>
                <w:b/>
                <w:sz w:val="20"/>
              </w:rPr>
              <w:t>Video Name</w:t>
            </w:r>
          </w:p>
        </w:tc>
        <w:tc>
          <w:tcPr>
            <w:tcW w:w="1296" w:type="dxa"/>
            <w:shd w:val="clear" w:color="auto" w:fill="E9DDF2"/>
          </w:tcPr>
          <w:p w14:paraId="24FC5DF0" w14:textId="77777777" w:rsidR="00964A98" w:rsidRDefault="00000000">
            <w:r>
              <w:rPr>
                <w:rFonts w:ascii="Manrope" w:hAnsi="Manrope"/>
                <w:b/>
                <w:sz w:val="20"/>
              </w:rPr>
              <w:t>Slide Number</w:t>
            </w:r>
          </w:p>
        </w:tc>
        <w:tc>
          <w:tcPr>
            <w:tcW w:w="1296" w:type="dxa"/>
            <w:shd w:val="clear" w:color="auto" w:fill="E9DDF2"/>
          </w:tcPr>
          <w:p w14:paraId="00AC8D5E" w14:textId="77777777" w:rsidR="00964A98" w:rsidRDefault="00000000">
            <w:r>
              <w:rPr>
                <w:rFonts w:ascii="Manrope" w:hAnsi="Manrope"/>
                <w:b/>
                <w:sz w:val="20"/>
              </w:rPr>
              <w:t>Duration</w:t>
            </w:r>
          </w:p>
        </w:tc>
        <w:tc>
          <w:tcPr>
            <w:tcW w:w="3888" w:type="dxa"/>
            <w:shd w:val="clear" w:color="auto" w:fill="E9DDF2"/>
          </w:tcPr>
          <w:p w14:paraId="76B80611" w14:textId="77777777" w:rsidR="00964A98" w:rsidRDefault="00000000">
            <w:r>
              <w:rPr>
                <w:rFonts w:ascii="Manrope" w:hAnsi="Manrope"/>
                <w:b/>
                <w:sz w:val="20"/>
              </w:rPr>
              <w:t>Summary</w:t>
            </w:r>
          </w:p>
        </w:tc>
        <w:tc>
          <w:tcPr>
            <w:tcW w:w="4176" w:type="dxa"/>
            <w:shd w:val="clear" w:color="auto" w:fill="E9DDF2"/>
          </w:tcPr>
          <w:p w14:paraId="0CCDBFDA" w14:textId="77777777" w:rsidR="00964A98" w:rsidRDefault="00000000">
            <w:r>
              <w:rPr>
                <w:rFonts w:ascii="Manrope" w:hAnsi="Manrope"/>
                <w:b/>
                <w:sz w:val="20"/>
              </w:rPr>
              <w:t>Key Concepts</w:t>
            </w:r>
          </w:p>
        </w:tc>
      </w:tr>
      <w:tr w:rsidR="00964A98" w14:paraId="5AB6799C" w14:textId="77777777">
        <w:trPr>
          <w:jc w:val="center"/>
        </w:trPr>
        <w:tc>
          <w:tcPr>
            <w:tcW w:w="2448" w:type="dxa"/>
          </w:tcPr>
          <w:p w14:paraId="2D235E23" w14:textId="77777777" w:rsidR="00964A98" w:rsidRDefault="00000000">
            <w:r>
              <w:rPr>
                <w:rFonts w:ascii="Manrope" w:hAnsi="Manrope"/>
                <w:sz w:val="20"/>
              </w:rPr>
              <w:t>Strengths and interests</w:t>
            </w:r>
          </w:p>
        </w:tc>
        <w:tc>
          <w:tcPr>
            <w:tcW w:w="1296" w:type="dxa"/>
          </w:tcPr>
          <w:p w14:paraId="40DF3976" w14:textId="77777777" w:rsidR="00964A98" w:rsidRDefault="00000000">
            <w:r>
              <w:rPr>
                <w:rFonts w:ascii="Manrope" w:hAnsi="Manrope"/>
                <w:sz w:val="20"/>
              </w:rPr>
              <w:t>12</w:t>
            </w:r>
          </w:p>
        </w:tc>
        <w:tc>
          <w:tcPr>
            <w:tcW w:w="1296" w:type="dxa"/>
          </w:tcPr>
          <w:p w14:paraId="4EAC280D" w14:textId="77777777" w:rsidR="00964A98" w:rsidRDefault="00000000">
            <w:r>
              <w:rPr>
                <w:rFonts w:ascii="Manrope" w:hAnsi="Manrope"/>
                <w:sz w:val="20"/>
              </w:rPr>
              <w:t>1:36</w:t>
            </w:r>
          </w:p>
        </w:tc>
        <w:tc>
          <w:tcPr>
            <w:tcW w:w="3888" w:type="dxa"/>
          </w:tcPr>
          <w:p w14:paraId="3D895FCD" w14:textId="77777777" w:rsidR="00964A98" w:rsidRDefault="00000000">
            <w:r>
              <w:rPr>
                <w:rFonts w:ascii="Manrope" w:hAnsi="Manrope"/>
                <w:sz w:val="20"/>
              </w:rPr>
              <w:t>Young people and families talk about strengths and interests as meaningful parts of identity, wellbeing, and engagement in daily life.</w:t>
            </w:r>
          </w:p>
        </w:tc>
        <w:tc>
          <w:tcPr>
            <w:tcW w:w="4176" w:type="dxa"/>
          </w:tcPr>
          <w:p w14:paraId="5A2D1696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A strengths-based lens moves attention away from deficit thinking.</w:t>
            </w:r>
          </w:p>
          <w:p w14:paraId="0EC84D8A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Interests can support confidence, belonging, and learning.</w:t>
            </w:r>
          </w:p>
          <w:p w14:paraId="355360D4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Strengths and interests vary across individuals and contexts.</w:t>
            </w:r>
          </w:p>
        </w:tc>
      </w:tr>
      <w:tr w:rsidR="00964A98" w14:paraId="6B957E4E" w14:textId="77777777">
        <w:trPr>
          <w:jc w:val="center"/>
        </w:trPr>
        <w:tc>
          <w:tcPr>
            <w:tcW w:w="2448" w:type="dxa"/>
          </w:tcPr>
          <w:p w14:paraId="25643249" w14:textId="77777777" w:rsidR="00964A98" w:rsidRDefault="00000000">
            <w:r>
              <w:rPr>
                <w:rFonts w:ascii="Manrope" w:hAnsi="Manrope"/>
                <w:sz w:val="20"/>
              </w:rPr>
              <w:t>Strengths and Interests (High School)</w:t>
            </w:r>
          </w:p>
        </w:tc>
        <w:tc>
          <w:tcPr>
            <w:tcW w:w="1296" w:type="dxa"/>
          </w:tcPr>
          <w:p w14:paraId="0FE9E17B" w14:textId="77777777" w:rsidR="00964A98" w:rsidRDefault="00000000">
            <w:r>
              <w:rPr>
                <w:rFonts w:ascii="Manrope" w:hAnsi="Manrope"/>
                <w:sz w:val="20"/>
              </w:rPr>
              <w:t>13</w:t>
            </w:r>
          </w:p>
        </w:tc>
        <w:tc>
          <w:tcPr>
            <w:tcW w:w="1296" w:type="dxa"/>
          </w:tcPr>
          <w:p w14:paraId="1A7BDFB0" w14:textId="77777777" w:rsidR="00964A98" w:rsidRDefault="00000000">
            <w:r>
              <w:rPr>
                <w:rFonts w:ascii="Manrope" w:hAnsi="Manrope"/>
                <w:sz w:val="20"/>
              </w:rPr>
              <w:t>0:52</w:t>
            </w:r>
          </w:p>
        </w:tc>
        <w:tc>
          <w:tcPr>
            <w:tcW w:w="3888" w:type="dxa"/>
          </w:tcPr>
          <w:p w14:paraId="1D4118AA" w14:textId="77777777" w:rsidR="00964A98" w:rsidRDefault="00000000">
            <w:r>
              <w:rPr>
                <w:rFonts w:ascii="Manrope" w:hAnsi="Manrope"/>
                <w:sz w:val="20"/>
              </w:rPr>
              <w:t>Sam reflects on strengths and interests in a high school context, showing how they can shape motivation, identity, and school experiences.</w:t>
            </w:r>
          </w:p>
        </w:tc>
        <w:tc>
          <w:tcPr>
            <w:tcW w:w="4176" w:type="dxa"/>
          </w:tcPr>
          <w:p w14:paraId="655BEE4C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Strengths and interests remain central in secondary school settings.</w:t>
            </w:r>
          </w:p>
          <w:p w14:paraId="12D1D0D3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Adolescent interests can be misunderstood if adults focus only on compliance.</w:t>
            </w:r>
          </w:p>
          <w:p w14:paraId="1644E1C2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A strengths-based response helps support engagement and identity.</w:t>
            </w:r>
          </w:p>
        </w:tc>
      </w:tr>
      <w:tr w:rsidR="00964A98" w14:paraId="69E45869" w14:textId="77777777">
        <w:trPr>
          <w:jc w:val="center"/>
        </w:trPr>
        <w:tc>
          <w:tcPr>
            <w:tcW w:w="2448" w:type="dxa"/>
          </w:tcPr>
          <w:p w14:paraId="611B6454" w14:textId="77777777" w:rsidR="00964A98" w:rsidRDefault="00000000">
            <w:r>
              <w:rPr>
                <w:rFonts w:ascii="Manrope" w:hAnsi="Manrope"/>
                <w:sz w:val="20"/>
              </w:rPr>
              <w:lastRenderedPageBreak/>
              <w:t>Connections to culture and community</w:t>
            </w:r>
          </w:p>
        </w:tc>
        <w:tc>
          <w:tcPr>
            <w:tcW w:w="1296" w:type="dxa"/>
          </w:tcPr>
          <w:p w14:paraId="72E4DD3A" w14:textId="77777777" w:rsidR="00964A98" w:rsidRDefault="00000000">
            <w:r>
              <w:rPr>
                <w:rFonts w:ascii="Manrope" w:hAnsi="Manrope"/>
                <w:sz w:val="20"/>
              </w:rPr>
              <w:t>17</w:t>
            </w:r>
          </w:p>
        </w:tc>
        <w:tc>
          <w:tcPr>
            <w:tcW w:w="1296" w:type="dxa"/>
          </w:tcPr>
          <w:p w14:paraId="5107FDCB" w14:textId="77777777" w:rsidR="00964A98" w:rsidRDefault="00000000">
            <w:r>
              <w:rPr>
                <w:rFonts w:ascii="Manrope" w:hAnsi="Manrope"/>
                <w:sz w:val="20"/>
              </w:rPr>
              <w:t>0:48</w:t>
            </w:r>
          </w:p>
        </w:tc>
        <w:tc>
          <w:tcPr>
            <w:tcW w:w="3888" w:type="dxa"/>
          </w:tcPr>
          <w:p w14:paraId="3AA03B06" w14:textId="77777777" w:rsidR="00964A98" w:rsidRDefault="00000000">
            <w:r>
              <w:rPr>
                <w:rFonts w:ascii="Manrope" w:hAnsi="Manrope"/>
                <w:sz w:val="20"/>
              </w:rPr>
              <w:t>Hao shares how sport, music, dance, and community connections contribute to identity, belonging, and wellbeing.</w:t>
            </w:r>
          </w:p>
        </w:tc>
        <w:tc>
          <w:tcPr>
            <w:tcW w:w="4176" w:type="dxa"/>
          </w:tcPr>
          <w:p w14:paraId="30052CB2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Identity is shaped by culture, family, and community as well as disability.</w:t>
            </w:r>
          </w:p>
          <w:p w14:paraId="5190887F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Belonging and connection are important to wellbeing.</w:t>
            </w:r>
          </w:p>
          <w:p w14:paraId="30D15631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Support should reflect the whole person, not only diagnosis.</w:t>
            </w:r>
          </w:p>
        </w:tc>
      </w:tr>
      <w:tr w:rsidR="00964A98" w14:paraId="38D35825" w14:textId="77777777">
        <w:trPr>
          <w:jc w:val="center"/>
        </w:trPr>
        <w:tc>
          <w:tcPr>
            <w:tcW w:w="2448" w:type="dxa"/>
          </w:tcPr>
          <w:p w14:paraId="7820A056" w14:textId="77777777" w:rsidR="00964A98" w:rsidRDefault="00000000">
            <w:r>
              <w:rPr>
                <w:rFonts w:ascii="Manrope" w:hAnsi="Manrope"/>
                <w:sz w:val="20"/>
              </w:rPr>
              <w:t>Communication</w:t>
            </w:r>
          </w:p>
        </w:tc>
        <w:tc>
          <w:tcPr>
            <w:tcW w:w="1296" w:type="dxa"/>
          </w:tcPr>
          <w:p w14:paraId="16B40E89" w14:textId="77777777" w:rsidR="00964A98" w:rsidRDefault="00000000">
            <w:r>
              <w:rPr>
                <w:rFonts w:ascii="Manrope" w:hAnsi="Manrope"/>
                <w:sz w:val="20"/>
              </w:rPr>
              <w:t>19</w:t>
            </w:r>
          </w:p>
        </w:tc>
        <w:tc>
          <w:tcPr>
            <w:tcW w:w="1296" w:type="dxa"/>
          </w:tcPr>
          <w:p w14:paraId="149E6B06" w14:textId="77777777" w:rsidR="00964A98" w:rsidRDefault="00000000">
            <w:r>
              <w:rPr>
                <w:rFonts w:ascii="Manrope" w:hAnsi="Manrope"/>
                <w:sz w:val="20"/>
              </w:rPr>
              <w:t>8:25</w:t>
            </w:r>
          </w:p>
        </w:tc>
        <w:tc>
          <w:tcPr>
            <w:tcW w:w="3888" w:type="dxa"/>
          </w:tcPr>
          <w:p w14:paraId="1C7C8313" w14:textId="77777777" w:rsidR="00964A98" w:rsidRDefault="00000000">
            <w:r>
              <w:rPr>
                <w:rFonts w:ascii="Manrope" w:hAnsi="Manrope"/>
                <w:sz w:val="20"/>
              </w:rPr>
              <w:t>A montage of lived experience perspectives shows different ways autistic young people communicate, including speech, AAC, and non-traditional communication styles.</w:t>
            </w:r>
          </w:p>
        </w:tc>
        <w:tc>
          <w:tcPr>
            <w:tcW w:w="4176" w:type="dxa"/>
          </w:tcPr>
          <w:p w14:paraId="6FBD24B9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Communication is broader than spoken language.</w:t>
            </w:r>
          </w:p>
          <w:p w14:paraId="4636CF95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AAC and alternative communication methods are valid and important.</w:t>
            </w:r>
          </w:p>
          <w:p w14:paraId="3FC66311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Respectful support requires flexibility and shared understanding.</w:t>
            </w:r>
          </w:p>
        </w:tc>
      </w:tr>
      <w:tr w:rsidR="00964A98" w14:paraId="2AE22274" w14:textId="77777777">
        <w:trPr>
          <w:jc w:val="center"/>
        </w:trPr>
        <w:tc>
          <w:tcPr>
            <w:tcW w:w="2448" w:type="dxa"/>
          </w:tcPr>
          <w:p w14:paraId="1EE95C89" w14:textId="77777777" w:rsidR="00964A98" w:rsidRDefault="00000000">
            <w:r>
              <w:rPr>
                <w:rFonts w:ascii="Manrope" w:hAnsi="Manrope"/>
                <w:sz w:val="20"/>
              </w:rPr>
              <w:t>Executive Functioning</w:t>
            </w:r>
          </w:p>
        </w:tc>
        <w:tc>
          <w:tcPr>
            <w:tcW w:w="1296" w:type="dxa"/>
          </w:tcPr>
          <w:p w14:paraId="798FA61E" w14:textId="77777777" w:rsidR="00964A98" w:rsidRDefault="00000000">
            <w:r>
              <w:rPr>
                <w:rFonts w:ascii="Manrope" w:hAnsi="Manrope"/>
                <w:sz w:val="20"/>
              </w:rPr>
              <w:t>24</w:t>
            </w:r>
          </w:p>
        </w:tc>
        <w:tc>
          <w:tcPr>
            <w:tcW w:w="1296" w:type="dxa"/>
          </w:tcPr>
          <w:p w14:paraId="16E4CF80" w14:textId="77777777" w:rsidR="00964A98" w:rsidRDefault="00000000">
            <w:r>
              <w:rPr>
                <w:rFonts w:ascii="Manrope" w:hAnsi="Manrope"/>
                <w:sz w:val="20"/>
              </w:rPr>
              <w:t>1:30</w:t>
            </w:r>
          </w:p>
        </w:tc>
        <w:tc>
          <w:tcPr>
            <w:tcW w:w="3888" w:type="dxa"/>
          </w:tcPr>
          <w:p w14:paraId="62F92C0D" w14:textId="77777777" w:rsidR="00964A98" w:rsidRDefault="00000000">
            <w:r>
              <w:rPr>
                <w:rFonts w:ascii="Manrope" w:hAnsi="Manrope"/>
                <w:sz w:val="20"/>
              </w:rPr>
              <w:t>This explainer introduces executive functioning as the set of mental processes that help people organise, plan, remember, and manage actions.</w:t>
            </w:r>
          </w:p>
        </w:tc>
        <w:tc>
          <w:tcPr>
            <w:tcW w:w="4176" w:type="dxa"/>
          </w:tcPr>
          <w:p w14:paraId="0C1BE4AA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Executive functioning includes planning, organisation, memory, and self-management.</w:t>
            </w:r>
          </w:p>
          <w:p w14:paraId="251FFD7D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These processes affect participation in everyday tasks.</w:t>
            </w:r>
          </w:p>
          <w:p w14:paraId="574C72EF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Challenges may be cognitive and invisible rather than behavioural.</w:t>
            </w:r>
          </w:p>
        </w:tc>
      </w:tr>
      <w:tr w:rsidR="00964A98" w14:paraId="6F885E23" w14:textId="77777777">
        <w:trPr>
          <w:jc w:val="center"/>
        </w:trPr>
        <w:tc>
          <w:tcPr>
            <w:tcW w:w="2448" w:type="dxa"/>
          </w:tcPr>
          <w:p w14:paraId="405077A2" w14:textId="77777777" w:rsidR="00964A98" w:rsidRDefault="00000000">
            <w:r>
              <w:rPr>
                <w:rFonts w:ascii="Manrope" w:hAnsi="Manrope"/>
                <w:sz w:val="20"/>
              </w:rPr>
              <w:t>Dean</w:t>
            </w:r>
          </w:p>
        </w:tc>
        <w:tc>
          <w:tcPr>
            <w:tcW w:w="1296" w:type="dxa"/>
          </w:tcPr>
          <w:p w14:paraId="6A0A643B" w14:textId="77777777" w:rsidR="00964A98" w:rsidRDefault="00000000">
            <w:r>
              <w:rPr>
                <w:rFonts w:ascii="Manrope" w:hAnsi="Manrope"/>
                <w:sz w:val="20"/>
              </w:rPr>
              <w:t>25</w:t>
            </w:r>
          </w:p>
        </w:tc>
        <w:tc>
          <w:tcPr>
            <w:tcW w:w="1296" w:type="dxa"/>
          </w:tcPr>
          <w:p w14:paraId="2BB4183B" w14:textId="77777777" w:rsidR="00964A98" w:rsidRDefault="00000000">
            <w:r>
              <w:rPr>
                <w:rFonts w:ascii="Manrope" w:hAnsi="Manrope"/>
                <w:sz w:val="20"/>
              </w:rPr>
              <w:t>1:46</w:t>
            </w:r>
          </w:p>
        </w:tc>
        <w:tc>
          <w:tcPr>
            <w:tcW w:w="3888" w:type="dxa"/>
          </w:tcPr>
          <w:p w14:paraId="37125F62" w14:textId="77777777" w:rsidR="00964A98" w:rsidRDefault="00000000">
            <w:r>
              <w:rPr>
                <w:rFonts w:ascii="Manrope" w:hAnsi="Manrope"/>
                <w:sz w:val="20"/>
              </w:rPr>
              <w:t>Dean shares a lived experience perspective on executive functioning and how these challenges can affect daily expectations and routines.</w:t>
            </w:r>
          </w:p>
        </w:tc>
        <w:tc>
          <w:tcPr>
            <w:tcW w:w="4176" w:type="dxa"/>
          </w:tcPr>
          <w:p w14:paraId="56E2052C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Lived experience adds depth to the concept of executive functioning.</w:t>
            </w:r>
          </w:p>
          <w:p w14:paraId="37ED4945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Everyday demands may feel much heavier than they appear from the outside.</w:t>
            </w:r>
          </w:p>
          <w:p w14:paraId="25209F34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Empathy is needed when behaviour is shaped by hidden cognitive load.</w:t>
            </w:r>
          </w:p>
        </w:tc>
      </w:tr>
      <w:tr w:rsidR="00964A98" w14:paraId="30E9E2E9" w14:textId="77777777">
        <w:trPr>
          <w:jc w:val="center"/>
        </w:trPr>
        <w:tc>
          <w:tcPr>
            <w:tcW w:w="2448" w:type="dxa"/>
          </w:tcPr>
          <w:p w14:paraId="5D905328" w14:textId="77777777" w:rsidR="00964A98" w:rsidRDefault="00000000">
            <w:r>
              <w:rPr>
                <w:rFonts w:ascii="Manrope" w:hAnsi="Manrope"/>
                <w:sz w:val="20"/>
              </w:rPr>
              <w:t>Self-Care and Independence Skills</w:t>
            </w:r>
          </w:p>
        </w:tc>
        <w:tc>
          <w:tcPr>
            <w:tcW w:w="1296" w:type="dxa"/>
          </w:tcPr>
          <w:p w14:paraId="04D31BB2" w14:textId="77777777" w:rsidR="00964A98" w:rsidRDefault="00000000">
            <w:r>
              <w:rPr>
                <w:rFonts w:ascii="Manrope" w:hAnsi="Manrope"/>
                <w:sz w:val="20"/>
              </w:rPr>
              <w:t>28</w:t>
            </w:r>
          </w:p>
        </w:tc>
        <w:tc>
          <w:tcPr>
            <w:tcW w:w="1296" w:type="dxa"/>
          </w:tcPr>
          <w:p w14:paraId="31DA404D" w14:textId="77777777" w:rsidR="00964A98" w:rsidRDefault="00000000">
            <w:r>
              <w:rPr>
                <w:rFonts w:ascii="Manrope" w:hAnsi="Manrope"/>
                <w:sz w:val="20"/>
              </w:rPr>
              <w:t>1:52</w:t>
            </w:r>
          </w:p>
        </w:tc>
        <w:tc>
          <w:tcPr>
            <w:tcW w:w="3888" w:type="dxa"/>
          </w:tcPr>
          <w:p w14:paraId="1CE18C23" w14:textId="77777777" w:rsidR="00964A98" w:rsidRDefault="00000000">
            <w:r>
              <w:rPr>
                <w:rFonts w:ascii="Manrope" w:hAnsi="Manrope"/>
                <w:sz w:val="20"/>
              </w:rPr>
              <w:t>Adon talks about self-care and independence skills, drawing attention to the hidden demands involved in everyday tasks.</w:t>
            </w:r>
          </w:p>
        </w:tc>
        <w:tc>
          <w:tcPr>
            <w:tcW w:w="4176" w:type="dxa"/>
          </w:tcPr>
          <w:p w14:paraId="13C9DD1B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Independence often depends on planning, sequencing, and support.</w:t>
            </w:r>
          </w:p>
          <w:p w14:paraId="423405BD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Everyday self-care can involve significant unseen effort.</w:t>
            </w:r>
          </w:p>
          <w:p w14:paraId="60CCEE96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Support should be realistic, individualised, and respectful.</w:t>
            </w:r>
          </w:p>
        </w:tc>
      </w:tr>
      <w:tr w:rsidR="00964A98" w14:paraId="4D5E2992" w14:textId="77777777">
        <w:trPr>
          <w:jc w:val="center"/>
        </w:trPr>
        <w:tc>
          <w:tcPr>
            <w:tcW w:w="2448" w:type="dxa"/>
          </w:tcPr>
          <w:p w14:paraId="17B2C622" w14:textId="77777777" w:rsidR="00964A98" w:rsidRDefault="00000000">
            <w:r>
              <w:rPr>
                <w:rFonts w:ascii="Manrope" w:hAnsi="Manrope"/>
                <w:sz w:val="20"/>
              </w:rPr>
              <w:t>Strategies</w:t>
            </w:r>
          </w:p>
        </w:tc>
        <w:tc>
          <w:tcPr>
            <w:tcW w:w="1296" w:type="dxa"/>
          </w:tcPr>
          <w:p w14:paraId="4067D6C0" w14:textId="77777777" w:rsidR="00964A98" w:rsidRDefault="00000000">
            <w:r>
              <w:rPr>
                <w:rFonts w:ascii="Manrope" w:hAnsi="Manrope"/>
                <w:sz w:val="20"/>
              </w:rPr>
              <w:t>31</w:t>
            </w:r>
          </w:p>
        </w:tc>
        <w:tc>
          <w:tcPr>
            <w:tcW w:w="1296" w:type="dxa"/>
          </w:tcPr>
          <w:p w14:paraId="6AA659C4" w14:textId="77777777" w:rsidR="00964A98" w:rsidRDefault="00000000">
            <w:r>
              <w:rPr>
                <w:rFonts w:ascii="Manrope" w:hAnsi="Manrope"/>
                <w:sz w:val="20"/>
              </w:rPr>
              <w:t>12:00</w:t>
            </w:r>
          </w:p>
        </w:tc>
        <w:tc>
          <w:tcPr>
            <w:tcW w:w="3888" w:type="dxa"/>
          </w:tcPr>
          <w:p w14:paraId="0ACEA220" w14:textId="77777777" w:rsidR="00964A98" w:rsidRDefault="00000000">
            <w:r>
              <w:rPr>
                <w:rFonts w:ascii="Manrope" w:hAnsi="Manrope"/>
                <w:sz w:val="20"/>
              </w:rPr>
              <w:t>Autistic young people describe strategies and supports that help them participate, regulate, communicate, and manage day-to-day life.</w:t>
            </w:r>
          </w:p>
        </w:tc>
        <w:tc>
          <w:tcPr>
            <w:tcW w:w="4176" w:type="dxa"/>
          </w:tcPr>
          <w:p w14:paraId="342E6B02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Useful strategies are practical and individualised.</w:t>
            </w:r>
          </w:p>
          <w:p w14:paraId="73CC0D35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Supports should be matched to the person and context.</w:t>
            </w:r>
          </w:p>
          <w:p w14:paraId="76239027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Strategies can improve participation, regulation, and communication.</w:t>
            </w:r>
          </w:p>
        </w:tc>
      </w:tr>
    </w:tbl>
    <w:p w14:paraId="306D9431" w14:textId="77777777" w:rsidR="00964A98" w:rsidRDefault="00964A98"/>
    <w:p w14:paraId="12ABB5D2" w14:textId="77777777" w:rsidR="0031471D" w:rsidRDefault="0031471D">
      <w:pPr>
        <w:rPr>
          <w:rFonts w:ascii="Fraunces" w:hAnsi="Fraunces"/>
          <w:b/>
          <w:color w:val="712D90"/>
          <w:sz w:val="30"/>
        </w:rPr>
      </w:pPr>
    </w:p>
    <w:p w14:paraId="76DAE095" w14:textId="330645AC" w:rsidR="00964A98" w:rsidRDefault="00000000">
      <w:r>
        <w:rPr>
          <w:rFonts w:ascii="Fraunces" w:hAnsi="Fraunces"/>
          <w:b/>
          <w:color w:val="712D90"/>
          <w:sz w:val="30"/>
        </w:rPr>
        <w:lastRenderedPageBreak/>
        <w:t>Session 3: Sensory Processing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296"/>
        <w:gridCol w:w="1296"/>
        <w:gridCol w:w="3888"/>
        <w:gridCol w:w="4176"/>
      </w:tblGrid>
      <w:tr w:rsidR="00964A98" w14:paraId="69D8313A" w14:textId="77777777">
        <w:trPr>
          <w:jc w:val="center"/>
        </w:trPr>
        <w:tc>
          <w:tcPr>
            <w:tcW w:w="2448" w:type="dxa"/>
            <w:shd w:val="clear" w:color="auto" w:fill="E9DDF2"/>
          </w:tcPr>
          <w:p w14:paraId="45E6AA97" w14:textId="77777777" w:rsidR="00964A98" w:rsidRDefault="00000000">
            <w:r>
              <w:rPr>
                <w:rFonts w:ascii="Manrope" w:hAnsi="Manrope"/>
                <w:b/>
                <w:sz w:val="20"/>
              </w:rPr>
              <w:t>Video Name</w:t>
            </w:r>
          </w:p>
        </w:tc>
        <w:tc>
          <w:tcPr>
            <w:tcW w:w="1296" w:type="dxa"/>
            <w:shd w:val="clear" w:color="auto" w:fill="E9DDF2"/>
          </w:tcPr>
          <w:p w14:paraId="3D2B4370" w14:textId="77777777" w:rsidR="00964A98" w:rsidRDefault="00000000">
            <w:r>
              <w:rPr>
                <w:rFonts w:ascii="Manrope" w:hAnsi="Manrope"/>
                <w:b/>
                <w:sz w:val="20"/>
              </w:rPr>
              <w:t>Slide Number</w:t>
            </w:r>
          </w:p>
        </w:tc>
        <w:tc>
          <w:tcPr>
            <w:tcW w:w="1296" w:type="dxa"/>
            <w:shd w:val="clear" w:color="auto" w:fill="E9DDF2"/>
          </w:tcPr>
          <w:p w14:paraId="3FC6FEB2" w14:textId="77777777" w:rsidR="00964A98" w:rsidRDefault="00000000">
            <w:r>
              <w:rPr>
                <w:rFonts w:ascii="Manrope" w:hAnsi="Manrope"/>
                <w:b/>
                <w:sz w:val="20"/>
              </w:rPr>
              <w:t>Duration</w:t>
            </w:r>
          </w:p>
        </w:tc>
        <w:tc>
          <w:tcPr>
            <w:tcW w:w="3888" w:type="dxa"/>
            <w:shd w:val="clear" w:color="auto" w:fill="E9DDF2"/>
          </w:tcPr>
          <w:p w14:paraId="5025D8CA" w14:textId="77777777" w:rsidR="00964A98" w:rsidRDefault="00000000">
            <w:r>
              <w:rPr>
                <w:rFonts w:ascii="Manrope" w:hAnsi="Manrope"/>
                <w:b/>
                <w:sz w:val="20"/>
              </w:rPr>
              <w:t>Summary</w:t>
            </w:r>
          </w:p>
        </w:tc>
        <w:tc>
          <w:tcPr>
            <w:tcW w:w="4176" w:type="dxa"/>
            <w:shd w:val="clear" w:color="auto" w:fill="E9DDF2"/>
          </w:tcPr>
          <w:p w14:paraId="56FAAD53" w14:textId="77777777" w:rsidR="00964A98" w:rsidRDefault="00000000">
            <w:r>
              <w:rPr>
                <w:rFonts w:ascii="Manrope" w:hAnsi="Manrope"/>
                <w:b/>
                <w:sz w:val="20"/>
              </w:rPr>
              <w:t>Key Concepts</w:t>
            </w:r>
          </w:p>
        </w:tc>
      </w:tr>
      <w:tr w:rsidR="00964A98" w14:paraId="610BF3F4" w14:textId="77777777">
        <w:trPr>
          <w:jc w:val="center"/>
        </w:trPr>
        <w:tc>
          <w:tcPr>
            <w:tcW w:w="2448" w:type="dxa"/>
          </w:tcPr>
          <w:p w14:paraId="25E56360" w14:textId="77777777" w:rsidR="00964A98" w:rsidRDefault="00000000">
            <w:r>
              <w:rPr>
                <w:rFonts w:ascii="Manrope" w:hAnsi="Manrope"/>
                <w:sz w:val="20"/>
              </w:rPr>
              <w:t>What can sensory processing differences feel like</w:t>
            </w:r>
          </w:p>
        </w:tc>
        <w:tc>
          <w:tcPr>
            <w:tcW w:w="1296" w:type="dxa"/>
          </w:tcPr>
          <w:p w14:paraId="6C222387" w14:textId="77777777" w:rsidR="00964A98" w:rsidRDefault="00000000">
            <w:r>
              <w:rPr>
                <w:rFonts w:ascii="Manrope" w:hAnsi="Manrope"/>
                <w:sz w:val="20"/>
              </w:rPr>
              <w:t>6</w:t>
            </w:r>
          </w:p>
        </w:tc>
        <w:tc>
          <w:tcPr>
            <w:tcW w:w="1296" w:type="dxa"/>
          </w:tcPr>
          <w:p w14:paraId="74B9E115" w14:textId="77777777" w:rsidR="00964A98" w:rsidRDefault="00000000">
            <w:r>
              <w:rPr>
                <w:rFonts w:ascii="Manrope" w:hAnsi="Manrope"/>
                <w:sz w:val="20"/>
              </w:rPr>
              <w:t>2:21</w:t>
            </w:r>
          </w:p>
        </w:tc>
        <w:tc>
          <w:tcPr>
            <w:tcW w:w="3888" w:type="dxa"/>
          </w:tcPr>
          <w:p w14:paraId="19FCEA2D" w14:textId="77777777" w:rsidR="00964A98" w:rsidRDefault="00000000">
            <w:r>
              <w:rPr>
                <w:rFonts w:ascii="Manrope" w:hAnsi="Manrope"/>
                <w:sz w:val="20"/>
              </w:rPr>
              <w:t>This clip offers a first-person sensory perspective, helping participants imagine how everyday environments can feel intense, beautiful, or overwhelming.</w:t>
            </w:r>
          </w:p>
        </w:tc>
        <w:tc>
          <w:tcPr>
            <w:tcW w:w="4176" w:type="dxa"/>
          </w:tcPr>
          <w:p w14:paraId="16B08A74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Sensory experience can be heightened, layered, and highly individual.</w:t>
            </w:r>
          </w:p>
          <w:p w14:paraId="0DBC5045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Ordinary environments may feel very different to autistic people.</w:t>
            </w:r>
          </w:p>
          <w:p w14:paraId="0C602F87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Lived sensory perspectives help build empathy.</w:t>
            </w:r>
          </w:p>
        </w:tc>
      </w:tr>
      <w:tr w:rsidR="00964A98" w14:paraId="6EB4E18D" w14:textId="77777777">
        <w:trPr>
          <w:jc w:val="center"/>
        </w:trPr>
        <w:tc>
          <w:tcPr>
            <w:tcW w:w="2448" w:type="dxa"/>
          </w:tcPr>
          <w:p w14:paraId="229AD466" w14:textId="77777777" w:rsidR="00964A98" w:rsidRDefault="00000000">
            <w:r>
              <w:rPr>
                <w:rFonts w:ascii="Manrope" w:hAnsi="Manrope"/>
                <w:sz w:val="20"/>
              </w:rPr>
              <w:t>Judy Endow: Sensory Processing</w:t>
            </w:r>
          </w:p>
        </w:tc>
        <w:tc>
          <w:tcPr>
            <w:tcW w:w="1296" w:type="dxa"/>
          </w:tcPr>
          <w:p w14:paraId="28D31117" w14:textId="77777777" w:rsidR="00964A98" w:rsidRDefault="00000000">
            <w:r>
              <w:rPr>
                <w:rFonts w:ascii="Manrope" w:hAnsi="Manrope"/>
                <w:sz w:val="20"/>
              </w:rPr>
              <w:t>7</w:t>
            </w:r>
          </w:p>
        </w:tc>
        <w:tc>
          <w:tcPr>
            <w:tcW w:w="1296" w:type="dxa"/>
          </w:tcPr>
          <w:p w14:paraId="4443767F" w14:textId="77777777" w:rsidR="00964A98" w:rsidRDefault="00000000">
            <w:r>
              <w:rPr>
                <w:rFonts w:ascii="Manrope" w:hAnsi="Manrope"/>
                <w:sz w:val="20"/>
              </w:rPr>
              <w:t>1:00</w:t>
            </w:r>
          </w:p>
        </w:tc>
        <w:tc>
          <w:tcPr>
            <w:tcW w:w="3888" w:type="dxa"/>
          </w:tcPr>
          <w:p w14:paraId="6B25C97D" w14:textId="77777777" w:rsidR="00964A98" w:rsidRDefault="00000000">
            <w:r>
              <w:rPr>
                <w:rFonts w:ascii="Manrope" w:hAnsi="Manrope"/>
                <w:sz w:val="20"/>
              </w:rPr>
              <w:t>Judy Endow provides a concise sensory processing perspective that helps explain why autistic responses to the environment can look so different from person to person.</w:t>
            </w:r>
          </w:p>
        </w:tc>
        <w:tc>
          <w:tcPr>
            <w:tcW w:w="4176" w:type="dxa"/>
          </w:tcPr>
          <w:p w14:paraId="23AFBB12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Sensory processing is a central part of lived experience.</w:t>
            </w:r>
          </w:p>
          <w:p w14:paraId="27A8625B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Responses to sound, light, touch, or movement can vary widely.</w:t>
            </w:r>
          </w:p>
          <w:p w14:paraId="01D1F51C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Behaviour linked to sensory need should be interpreted respectfully.</w:t>
            </w:r>
          </w:p>
        </w:tc>
      </w:tr>
      <w:tr w:rsidR="00964A98" w14:paraId="204287D6" w14:textId="77777777">
        <w:trPr>
          <w:jc w:val="center"/>
        </w:trPr>
        <w:tc>
          <w:tcPr>
            <w:tcW w:w="2448" w:type="dxa"/>
          </w:tcPr>
          <w:p w14:paraId="2C3DC8C6" w14:textId="77777777" w:rsidR="00964A98" w:rsidRDefault="00000000">
            <w:r>
              <w:rPr>
                <w:rFonts w:ascii="Manrope" w:hAnsi="Manrope"/>
                <w:sz w:val="20"/>
              </w:rPr>
              <w:t>Over and under sensitive</w:t>
            </w:r>
          </w:p>
        </w:tc>
        <w:tc>
          <w:tcPr>
            <w:tcW w:w="1296" w:type="dxa"/>
          </w:tcPr>
          <w:p w14:paraId="594C2992" w14:textId="77777777" w:rsidR="00964A98" w:rsidRDefault="00000000">
            <w:r>
              <w:rPr>
                <w:rFonts w:ascii="Manrope" w:hAnsi="Manrope"/>
                <w:sz w:val="20"/>
              </w:rPr>
              <w:t>9</w:t>
            </w:r>
          </w:p>
        </w:tc>
        <w:tc>
          <w:tcPr>
            <w:tcW w:w="1296" w:type="dxa"/>
          </w:tcPr>
          <w:p w14:paraId="59E3B77B" w14:textId="77777777" w:rsidR="00964A98" w:rsidRDefault="00000000">
            <w:r>
              <w:rPr>
                <w:rFonts w:ascii="Manrope" w:hAnsi="Manrope"/>
                <w:sz w:val="20"/>
              </w:rPr>
              <w:t>1:00</w:t>
            </w:r>
          </w:p>
        </w:tc>
        <w:tc>
          <w:tcPr>
            <w:tcW w:w="3888" w:type="dxa"/>
          </w:tcPr>
          <w:p w14:paraId="1002C3AD" w14:textId="77777777" w:rsidR="00964A98" w:rsidRDefault="00000000">
            <w:r>
              <w:rPr>
                <w:rFonts w:ascii="Manrope" w:hAnsi="Manrope"/>
                <w:sz w:val="20"/>
              </w:rPr>
              <w:t>This short analogy-based clip explains how people may respond differently when sensory systems are over-responsive, under-responsive, or inconsistent.</w:t>
            </w:r>
          </w:p>
        </w:tc>
        <w:tc>
          <w:tcPr>
            <w:tcW w:w="4176" w:type="dxa"/>
          </w:tcPr>
          <w:p w14:paraId="55197D18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Sensory profiles are not all the same.</w:t>
            </w:r>
          </w:p>
          <w:p w14:paraId="4DE0D2DE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Sensitivity can differ across senses and situations.</w:t>
            </w:r>
          </w:p>
          <w:p w14:paraId="45065D9F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A simple analogy helps explain how overload can happen.</w:t>
            </w:r>
          </w:p>
        </w:tc>
      </w:tr>
      <w:tr w:rsidR="00964A98" w14:paraId="10E9C0C8" w14:textId="77777777">
        <w:trPr>
          <w:jc w:val="center"/>
        </w:trPr>
        <w:tc>
          <w:tcPr>
            <w:tcW w:w="2448" w:type="dxa"/>
          </w:tcPr>
          <w:p w14:paraId="3361E5E0" w14:textId="77777777" w:rsidR="00964A98" w:rsidRDefault="00000000">
            <w:r>
              <w:rPr>
                <w:rFonts w:ascii="Manrope" w:hAnsi="Manrope"/>
                <w:sz w:val="20"/>
              </w:rPr>
              <w:t>Sensory processing and context</w:t>
            </w:r>
          </w:p>
        </w:tc>
        <w:tc>
          <w:tcPr>
            <w:tcW w:w="1296" w:type="dxa"/>
          </w:tcPr>
          <w:p w14:paraId="4DBC80A4" w14:textId="77777777" w:rsidR="00964A98" w:rsidRDefault="00000000">
            <w:r>
              <w:rPr>
                <w:rFonts w:ascii="Manrope" w:hAnsi="Manrope"/>
                <w:sz w:val="20"/>
              </w:rPr>
              <w:t>13</w:t>
            </w:r>
          </w:p>
        </w:tc>
        <w:tc>
          <w:tcPr>
            <w:tcW w:w="1296" w:type="dxa"/>
          </w:tcPr>
          <w:p w14:paraId="539FEB3E" w14:textId="77777777" w:rsidR="00964A98" w:rsidRDefault="00000000">
            <w:r>
              <w:rPr>
                <w:rFonts w:ascii="Manrope" w:hAnsi="Manrope"/>
                <w:sz w:val="20"/>
              </w:rPr>
              <w:t>4:03</w:t>
            </w:r>
          </w:p>
        </w:tc>
        <w:tc>
          <w:tcPr>
            <w:tcW w:w="3888" w:type="dxa"/>
          </w:tcPr>
          <w:p w14:paraId="3910974B" w14:textId="77777777" w:rsidR="00964A98" w:rsidRDefault="00000000">
            <w:r>
              <w:rPr>
                <w:rFonts w:ascii="Manrope" w:hAnsi="Manrope"/>
                <w:sz w:val="20"/>
              </w:rPr>
              <w:t>This video connects sensory experiences to context, showing how the same person may respond very differently depending on the environment, demands, and level of safety.</w:t>
            </w:r>
          </w:p>
        </w:tc>
        <w:tc>
          <w:tcPr>
            <w:tcW w:w="4176" w:type="dxa"/>
          </w:tcPr>
          <w:p w14:paraId="4C88F60E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Sensory processing is shaped by context as well as the individual.</w:t>
            </w:r>
          </w:p>
          <w:p w14:paraId="3D5460CF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Stress, environment, and demand levels can change tolerance.</w:t>
            </w:r>
          </w:p>
          <w:p w14:paraId="6912CA5A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Adjustments to spaces and routines can make a meaningful difference.</w:t>
            </w:r>
          </w:p>
        </w:tc>
      </w:tr>
      <w:tr w:rsidR="00964A98" w14:paraId="31F3D525" w14:textId="77777777">
        <w:trPr>
          <w:jc w:val="center"/>
        </w:trPr>
        <w:tc>
          <w:tcPr>
            <w:tcW w:w="2448" w:type="dxa"/>
          </w:tcPr>
          <w:p w14:paraId="72956336" w14:textId="77777777" w:rsidR="00964A98" w:rsidRDefault="00000000">
            <w:r>
              <w:rPr>
                <w:rFonts w:ascii="Manrope" w:hAnsi="Manrope"/>
                <w:sz w:val="20"/>
              </w:rPr>
              <w:t>Sensory solutions and strategies</w:t>
            </w:r>
          </w:p>
        </w:tc>
        <w:tc>
          <w:tcPr>
            <w:tcW w:w="1296" w:type="dxa"/>
          </w:tcPr>
          <w:p w14:paraId="680C1569" w14:textId="77777777" w:rsidR="00964A98" w:rsidRDefault="00000000">
            <w:r>
              <w:rPr>
                <w:rFonts w:ascii="Manrope" w:hAnsi="Manrope"/>
                <w:sz w:val="20"/>
              </w:rPr>
              <w:t>16</w:t>
            </w:r>
          </w:p>
        </w:tc>
        <w:tc>
          <w:tcPr>
            <w:tcW w:w="1296" w:type="dxa"/>
          </w:tcPr>
          <w:p w14:paraId="329E54A8" w14:textId="77777777" w:rsidR="00964A98" w:rsidRDefault="00000000">
            <w:r>
              <w:rPr>
                <w:rFonts w:ascii="Manrope" w:hAnsi="Manrope"/>
                <w:sz w:val="20"/>
              </w:rPr>
              <w:t>3:12</w:t>
            </w:r>
          </w:p>
        </w:tc>
        <w:tc>
          <w:tcPr>
            <w:tcW w:w="3888" w:type="dxa"/>
          </w:tcPr>
          <w:p w14:paraId="7F228001" w14:textId="77777777" w:rsidR="00964A98" w:rsidRDefault="00000000">
            <w:r>
              <w:rPr>
                <w:rFonts w:ascii="Manrope" w:hAnsi="Manrope"/>
                <w:sz w:val="20"/>
              </w:rPr>
              <w:t>Autistic lived experience perspectives are used to explore practical sensory supports and how thoughtful adjustments can make environments more workable.</w:t>
            </w:r>
          </w:p>
        </w:tc>
        <w:tc>
          <w:tcPr>
            <w:tcW w:w="4176" w:type="dxa"/>
          </w:tcPr>
          <w:p w14:paraId="6995916F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Sensory support should focus on practical adjustment, not forced coping.</w:t>
            </w:r>
          </w:p>
          <w:p w14:paraId="29F93EE5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Strategies should be collaborative and individualised.</w:t>
            </w:r>
          </w:p>
          <w:p w14:paraId="59EE9C6D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Thoughtful adjustments improve access, comfort, and participation.</w:t>
            </w:r>
          </w:p>
        </w:tc>
      </w:tr>
    </w:tbl>
    <w:p w14:paraId="7244B438" w14:textId="77777777" w:rsidR="00964A98" w:rsidRDefault="00964A98"/>
    <w:p w14:paraId="04FADF7C" w14:textId="77777777" w:rsidR="0031471D" w:rsidRDefault="0031471D">
      <w:pPr>
        <w:rPr>
          <w:rFonts w:ascii="Fraunces" w:hAnsi="Fraunces"/>
          <w:b/>
          <w:color w:val="712D90"/>
          <w:sz w:val="30"/>
        </w:rPr>
      </w:pPr>
    </w:p>
    <w:p w14:paraId="1C6AF29A" w14:textId="77777777" w:rsidR="0031471D" w:rsidRDefault="0031471D">
      <w:pPr>
        <w:rPr>
          <w:rFonts w:ascii="Fraunces" w:hAnsi="Fraunces"/>
          <w:b/>
          <w:color w:val="712D90"/>
          <w:sz w:val="30"/>
        </w:rPr>
      </w:pPr>
    </w:p>
    <w:p w14:paraId="50C2C8FF" w14:textId="275C5664" w:rsidR="00964A98" w:rsidRDefault="00000000">
      <w:r>
        <w:rPr>
          <w:rFonts w:ascii="Fraunces" w:hAnsi="Fraunces"/>
          <w:b/>
          <w:color w:val="712D90"/>
          <w:sz w:val="30"/>
        </w:rPr>
        <w:lastRenderedPageBreak/>
        <w:t>Session 4: Working in Partnerships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296"/>
        <w:gridCol w:w="1296"/>
        <w:gridCol w:w="3888"/>
        <w:gridCol w:w="4176"/>
      </w:tblGrid>
      <w:tr w:rsidR="00964A98" w14:paraId="2BB26B83" w14:textId="77777777">
        <w:trPr>
          <w:jc w:val="center"/>
        </w:trPr>
        <w:tc>
          <w:tcPr>
            <w:tcW w:w="2448" w:type="dxa"/>
            <w:shd w:val="clear" w:color="auto" w:fill="E9DDF2"/>
          </w:tcPr>
          <w:p w14:paraId="5BA5B3D4" w14:textId="77777777" w:rsidR="00964A98" w:rsidRDefault="00000000">
            <w:r>
              <w:rPr>
                <w:rFonts w:ascii="Manrope" w:hAnsi="Manrope"/>
                <w:b/>
                <w:sz w:val="20"/>
              </w:rPr>
              <w:t>Video Name</w:t>
            </w:r>
          </w:p>
        </w:tc>
        <w:tc>
          <w:tcPr>
            <w:tcW w:w="1296" w:type="dxa"/>
            <w:shd w:val="clear" w:color="auto" w:fill="E9DDF2"/>
          </w:tcPr>
          <w:p w14:paraId="7EF0BA02" w14:textId="77777777" w:rsidR="00964A98" w:rsidRDefault="00000000">
            <w:r>
              <w:rPr>
                <w:rFonts w:ascii="Manrope" w:hAnsi="Manrope"/>
                <w:b/>
                <w:sz w:val="20"/>
              </w:rPr>
              <w:t>Slide Number</w:t>
            </w:r>
          </w:p>
        </w:tc>
        <w:tc>
          <w:tcPr>
            <w:tcW w:w="1296" w:type="dxa"/>
            <w:shd w:val="clear" w:color="auto" w:fill="E9DDF2"/>
          </w:tcPr>
          <w:p w14:paraId="741CD170" w14:textId="77777777" w:rsidR="00964A98" w:rsidRDefault="00000000">
            <w:r>
              <w:rPr>
                <w:rFonts w:ascii="Manrope" w:hAnsi="Manrope"/>
                <w:b/>
                <w:sz w:val="20"/>
              </w:rPr>
              <w:t>Duration</w:t>
            </w:r>
          </w:p>
        </w:tc>
        <w:tc>
          <w:tcPr>
            <w:tcW w:w="3888" w:type="dxa"/>
            <w:shd w:val="clear" w:color="auto" w:fill="E9DDF2"/>
          </w:tcPr>
          <w:p w14:paraId="109BB97D" w14:textId="77777777" w:rsidR="00964A98" w:rsidRDefault="00000000">
            <w:r>
              <w:rPr>
                <w:rFonts w:ascii="Manrope" w:hAnsi="Manrope"/>
                <w:b/>
                <w:sz w:val="20"/>
              </w:rPr>
              <w:t>Summary</w:t>
            </w:r>
          </w:p>
        </w:tc>
        <w:tc>
          <w:tcPr>
            <w:tcW w:w="4176" w:type="dxa"/>
            <w:shd w:val="clear" w:color="auto" w:fill="E9DDF2"/>
          </w:tcPr>
          <w:p w14:paraId="4127B75E" w14:textId="77777777" w:rsidR="00964A98" w:rsidRDefault="00000000">
            <w:r>
              <w:rPr>
                <w:rFonts w:ascii="Manrope" w:hAnsi="Manrope"/>
                <w:b/>
                <w:sz w:val="20"/>
              </w:rPr>
              <w:t>Key Concepts</w:t>
            </w:r>
          </w:p>
        </w:tc>
      </w:tr>
      <w:tr w:rsidR="00964A98" w14:paraId="7304CE32" w14:textId="77777777">
        <w:trPr>
          <w:jc w:val="center"/>
        </w:trPr>
        <w:tc>
          <w:tcPr>
            <w:tcW w:w="2448" w:type="dxa"/>
          </w:tcPr>
          <w:p w14:paraId="76D35CAC" w14:textId="77777777" w:rsidR="00964A98" w:rsidRDefault="00000000">
            <w:r>
              <w:rPr>
                <w:rFonts w:ascii="Manrope" w:hAnsi="Manrope"/>
                <w:sz w:val="20"/>
              </w:rPr>
              <w:t>Disability Standards for Education</w:t>
            </w:r>
          </w:p>
        </w:tc>
        <w:tc>
          <w:tcPr>
            <w:tcW w:w="1296" w:type="dxa"/>
          </w:tcPr>
          <w:p w14:paraId="25973BC1" w14:textId="77777777" w:rsidR="00964A98" w:rsidRDefault="00000000">
            <w:r>
              <w:rPr>
                <w:rFonts w:ascii="Manrope" w:hAnsi="Manrope"/>
                <w:sz w:val="20"/>
              </w:rPr>
              <w:t>3</w:t>
            </w:r>
          </w:p>
        </w:tc>
        <w:tc>
          <w:tcPr>
            <w:tcW w:w="1296" w:type="dxa"/>
          </w:tcPr>
          <w:p w14:paraId="35DC2BF6" w14:textId="77777777" w:rsidR="00964A98" w:rsidRDefault="00000000">
            <w:r>
              <w:rPr>
                <w:rFonts w:ascii="Manrope" w:hAnsi="Manrope"/>
                <w:sz w:val="20"/>
              </w:rPr>
              <w:t>2:00</w:t>
            </w:r>
          </w:p>
        </w:tc>
        <w:tc>
          <w:tcPr>
            <w:tcW w:w="3888" w:type="dxa"/>
          </w:tcPr>
          <w:p w14:paraId="5A8F55D5" w14:textId="77777777" w:rsidR="00964A98" w:rsidRDefault="00000000">
            <w:r>
              <w:rPr>
                <w:rFonts w:ascii="Manrope" w:hAnsi="Manrope"/>
                <w:sz w:val="20"/>
              </w:rPr>
              <w:t>This short explainer introduces the legal obligations schools have under the Disability Standards for Education and why they matter in practice.</w:t>
            </w:r>
          </w:p>
        </w:tc>
        <w:tc>
          <w:tcPr>
            <w:tcW w:w="4176" w:type="dxa"/>
          </w:tcPr>
          <w:p w14:paraId="47DCA192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The Standards create legal responsibilities, not optional supports.</w:t>
            </w:r>
          </w:p>
          <w:p w14:paraId="762F4C08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Consultation and reasonable adjustments are central obligations.</w:t>
            </w:r>
          </w:p>
          <w:p w14:paraId="0F84C1A0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The framework helps explain rights and responsibilities in education.</w:t>
            </w:r>
          </w:p>
        </w:tc>
      </w:tr>
      <w:tr w:rsidR="00964A98" w14:paraId="75F53592" w14:textId="77777777">
        <w:trPr>
          <w:jc w:val="center"/>
        </w:trPr>
        <w:tc>
          <w:tcPr>
            <w:tcW w:w="2448" w:type="dxa"/>
          </w:tcPr>
          <w:p w14:paraId="1A67416A" w14:textId="77777777" w:rsidR="00964A98" w:rsidRDefault="00000000">
            <w:r>
              <w:rPr>
                <w:rFonts w:ascii="Manrope" w:hAnsi="Manrope"/>
                <w:sz w:val="20"/>
              </w:rPr>
              <w:t>Moving Forward</w:t>
            </w:r>
          </w:p>
        </w:tc>
        <w:tc>
          <w:tcPr>
            <w:tcW w:w="1296" w:type="dxa"/>
          </w:tcPr>
          <w:p w14:paraId="06452C8B" w14:textId="77777777" w:rsidR="00964A98" w:rsidRDefault="00000000">
            <w:r>
              <w:rPr>
                <w:rFonts w:ascii="Manrope" w:hAnsi="Manrope"/>
                <w:sz w:val="20"/>
              </w:rPr>
              <w:t>17</w:t>
            </w:r>
          </w:p>
        </w:tc>
        <w:tc>
          <w:tcPr>
            <w:tcW w:w="1296" w:type="dxa"/>
          </w:tcPr>
          <w:p w14:paraId="26CA8A58" w14:textId="77777777" w:rsidR="00964A98" w:rsidRDefault="00000000">
            <w:r>
              <w:rPr>
                <w:rFonts w:ascii="Manrope" w:hAnsi="Manrope"/>
                <w:sz w:val="20"/>
              </w:rPr>
              <w:t>2:30</w:t>
            </w:r>
          </w:p>
        </w:tc>
        <w:tc>
          <w:tcPr>
            <w:tcW w:w="3888" w:type="dxa"/>
          </w:tcPr>
          <w:p w14:paraId="432A0E23" w14:textId="77777777" w:rsidR="00964A98" w:rsidRDefault="00000000">
            <w:r>
              <w:rPr>
                <w:rFonts w:ascii="Manrope" w:hAnsi="Manrope"/>
                <w:sz w:val="20"/>
              </w:rPr>
              <w:t>A family-school clip closes the session by focusing on practical partnership, shared goals, and what effective collaboration can look like going forward.</w:t>
            </w:r>
          </w:p>
        </w:tc>
        <w:tc>
          <w:tcPr>
            <w:tcW w:w="4176" w:type="dxa"/>
          </w:tcPr>
          <w:p w14:paraId="3F6D2916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Ongoing collaboration is central to good partnership.</w:t>
            </w:r>
          </w:p>
          <w:p w14:paraId="59CDF8B3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Shared goals and communication support better outcomes.</w:t>
            </w:r>
          </w:p>
          <w:p w14:paraId="4DCABE59" w14:textId="77777777" w:rsidR="00964A98" w:rsidRDefault="00000000">
            <w:pPr>
              <w:pStyle w:val="ListBullet"/>
            </w:pPr>
            <w:r>
              <w:rPr>
                <w:rFonts w:ascii="Manrope" w:hAnsi="Manrope"/>
                <w:sz w:val="20"/>
              </w:rPr>
              <w:t>The young person remains the focus of partnership work.</w:t>
            </w:r>
          </w:p>
        </w:tc>
      </w:tr>
    </w:tbl>
    <w:p w14:paraId="5B1508B1" w14:textId="77777777" w:rsidR="00EE3DEF" w:rsidRDefault="00EE3DEF"/>
    <w:sectPr w:rsidR="00EE3DEF" w:rsidSect="0031471D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Fraunces">
    <w:altName w:val="Cambria"/>
    <w:panose1 w:val="020B0604020202020204"/>
    <w:charset w:val="00"/>
    <w:family w:val="roman"/>
    <w:notTrueType/>
    <w:pitch w:val="default"/>
  </w:font>
  <w:font w:name="Manrope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8737069">
    <w:abstractNumId w:val="8"/>
  </w:num>
  <w:num w:numId="2" w16cid:durableId="155458400">
    <w:abstractNumId w:val="6"/>
  </w:num>
  <w:num w:numId="3" w16cid:durableId="1542933447">
    <w:abstractNumId w:val="5"/>
  </w:num>
  <w:num w:numId="4" w16cid:durableId="1349064603">
    <w:abstractNumId w:val="4"/>
  </w:num>
  <w:num w:numId="5" w16cid:durableId="273831441">
    <w:abstractNumId w:val="7"/>
  </w:num>
  <w:num w:numId="6" w16cid:durableId="1943759020">
    <w:abstractNumId w:val="3"/>
  </w:num>
  <w:num w:numId="7" w16cid:durableId="2025158708">
    <w:abstractNumId w:val="2"/>
  </w:num>
  <w:num w:numId="8" w16cid:durableId="1777602835">
    <w:abstractNumId w:val="1"/>
  </w:num>
  <w:num w:numId="9" w16cid:durableId="1969778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109"/>
    <w:rsid w:val="0006063C"/>
    <w:rsid w:val="0015074B"/>
    <w:rsid w:val="0029639D"/>
    <w:rsid w:val="0031471D"/>
    <w:rsid w:val="00326F90"/>
    <w:rsid w:val="00964A98"/>
    <w:rsid w:val="00AA1D8D"/>
    <w:rsid w:val="00B47730"/>
    <w:rsid w:val="00CB0664"/>
    <w:rsid w:val="00EE3D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D547C"/>
  <w14:defaultImageDpi w14:val="300"/>
  <w15:docId w15:val="{CF0BFA06-7EF7-0642-9599-0109BD9D4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914</Words>
  <Characters>5783</Characters>
  <Application>Microsoft Office Word</Application>
  <DocSecurity>0</DocSecurity>
  <Lines>275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Craig Smith</cp:lastModifiedBy>
  <cp:revision>2</cp:revision>
  <dcterms:created xsi:type="dcterms:W3CDTF">2013-12-23T23:15:00Z</dcterms:created>
  <dcterms:modified xsi:type="dcterms:W3CDTF">2026-03-09T03:44:00Z</dcterms:modified>
  <cp:category/>
</cp:coreProperties>
</file>