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МИНИСТЕРСТВО ОБРАЗОВАНИЯ РЕСПУБЛИКИ БЕЛАРУСЬ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БЕЛОРУССКИЙ ГОСУДАРСТВЕННЫЙ УНИВЕРСИТЕТ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ФАКУЛЬТЕТ ПРИКЛАДНОЙ МАТЕМАТИКИ И ИНФОРМАТИКИ</w:t>
      </w:r>
    </w:p>
    <w:p>
      <w:pPr>
        <w:pStyle w:val="a4"/>
        <w:spacing w:after="120" w:before="2835"/>
        <w:ind w:firstLine="0"/>
        <w:jc w:val="center"/>
      </w:pPr>
      <w:r>
        <w:rPr>
          <w:rFonts w:ascii="Times New Roman" w:hAnsi="Times New Roman"/>
          <w:color w:val="000000"/>
        </w:rPr>
        <w:t>ОТЧЕТ</w:t>
      </w:r>
    </w:p>
    <w:p>
      <w:pPr>
        <w:spacing w:after="120"/>
        <w:ind w:firstLine="0"/>
        <w:jc w:val="center"/>
      </w:pPr>
      <w:r>
        <w:rPr>
          <w:rFonts w:ascii="Times New Roman" w:hAnsi="Times New Roman"/>
          <w:color w:val="000000"/>
        </w:rPr>
        <w:t>по лабораторной работе 1</w:t>
      </w:r>
    </w:p>
    <w:p>
      <w:pPr>
        <w:spacing w:after="120"/>
        <w:ind w:firstLine="0"/>
        <w:jc w:val="center"/>
      </w:pPr>
      <w:r>
        <w:rPr>
          <w:rFonts w:ascii="Times New Roman" w:hAnsi="Times New Roman"/>
          <w:b/>
          <w:color w:val="000000"/>
        </w:rPr>
        <w:t>Цветовые модели</w:t>
      </w:r>
    </w:p>
    <w:p>
      <w:pPr>
        <w:spacing w:after="120"/>
        <w:ind w:firstLine="0"/>
        <w:jc w:val="center"/>
      </w:pPr>
      <w:r>
        <w:rPr>
          <w:rFonts w:ascii="Times New Roman" w:hAnsi="Times New Roman"/>
          <w:color w:val="000000"/>
        </w:rPr>
        <w:t>Вариант 10</w:t>
        <w:br/>
        <w:t>CMYK ↔ LAB ↔ RGB</w:t>
      </w:r>
    </w:p>
    <w:p>
      <w:pPr>
        <w:spacing w:after="120" w:before="1701"/>
        <w:ind w:firstLine="0" w:left="4535"/>
        <w:jc w:val="left"/>
      </w:pPr>
      <w:r>
        <w:rPr>
          <w:rFonts w:ascii="Times New Roman" w:hAnsi="Times New Roman"/>
          <w:color w:val="000000"/>
        </w:rPr>
        <w:t>Выполнил</w:t>
        <w:br/>
        <w:t>Чернышов Матвей</w:t>
        <w:br/>
        <w:t>студент 2 курса группы 10б</w:t>
        <w:br/>
        <w:t>специальность</w:t>
        <w:br/>
        <w:t>«Прикладная информатика»</w:t>
      </w:r>
    </w:p>
    <w:p>
      <w:pPr>
        <w:spacing w:after="120" w:before="1701"/>
        <w:ind w:firstLine="0"/>
        <w:jc w:val="center"/>
      </w:pPr>
      <w:r>
        <w:rPr>
          <w:rFonts w:ascii="Times New Roman" w:hAnsi="Times New Roman"/>
          <w:color w:val="000000"/>
        </w:rPr>
        <w:t>Минск 2026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1 Цель и задачи работы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Цель работы — изучить цветовые модели и способы перехода между ними, исследовать цветовой график МКО и разработать приложение для интерактивного изменения цвета. В соответствии с вариантом 10 в ColorLab реализованы модели CMYK, LAB и RGB [1].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Приложение одновременно показывает координаты цвета во всех трёх моделях. Изменение компоненты через поле, ползунок или палитру вызывает пересчёт остальных представлений.</w:t>
      </w:r>
    </w:p>
    <w:p>
      <w:pPr>
        <w:pStyle w:val="2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Задачи работы</w:t>
      </w:r>
    </w:p>
    <w:p>
      <w:pPr>
        <w:spacing w:after="80"/>
        <w:ind w:left="283" w:hanging="283"/>
        <w:jc w:val="both"/>
      </w:pPr>
      <w:r>
        <w:rPr>
          <w:rFonts w:ascii="Times New Roman" w:hAnsi="Times New Roman"/>
          <w:color w:val="000000"/>
        </w:rPr>
        <w:t>• Реализовать цветовые преобразования и матричные операции без библиотек конвертации цветов.</w:t>
      </w:r>
    </w:p>
    <w:p>
      <w:pPr>
        <w:spacing w:after="80"/>
        <w:ind w:left="283" w:hanging="283"/>
        <w:jc w:val="both"/>
      </w:pPr>
      <w:r>
        <w:rPr>
          <w:rFonts w:ascii="Times New Roman" w:hAnsi="Times New Roman"/>
          <w:color w:val="000000"/>
        </w:rPr>
        <w:t>• Добавить выбор освещения D65, D50 и E с пересчётом матриц перехода.</w:t>
      </w:r>
    </w:p>
    <w:p>
      <w:pPr>
        <w:spacing w:after="80"/>
        <w:ind w:left="283" w:hanging="283"/>
        <w:jc w:val="both"/>
      </w:pPr>
      <w:r>
        <w:rPr>
          <w:rFonts w:ascii="Times New Roman" w:hAnsi="Times New Roman"/>
          <w:color w:val="000000"/>
        </w:rPr>
        <w:t>• Реализовать цветоделение UCR и GCR, обработку выхода за охват Clipping и Scaling.</w:t>
      </w:r>
    </w:p>
    <w:p>
      <w:pPr>
        <w:spacing w:after="80"/>
        <w:ind w:left="283" w:hanging="283"/>
        <w:jc w:val="both"/>
      </w:pPr>
      <w:r>
        <w:rPr>
          <w:rFonts w:ascii="Times New Roman" w:hAnsi="Times New Roman"/>
          <w:color w:val="000000"/>
        </w:rPr>
        <w:t>• Обеспечить три способа ввода цвета в каждой модели и динамические градиенты ползунков.</w:t>
      </w:r>
    </w:p>
    <w:p>
      <w:pPr>
        <w:spacing w:after="80"/>
        <w:ind w:left="283" w:hanging="283"/>
        <w:jc w:val="both"/>
      </w:pPr>
      <w:r>
        <w:rPr>
          <w:rFonts w:ascii="Times New Roman" w:hAnsi="Times New Roman"/>
          <w:color w:val="000000"/>
        </w:rPr>
        <w:t>• Разделить приложение на Model, View и Controller и проверить вычисления автоматическими тестами.</w:t>
      </w:r>
    </w:p>
    <w:p>
      <w:pPr>
        <w:pStyle w:val="1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2 Инструментарий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Приложение написано на Python 3.14 в среде PyCharm. Интерфейс построен с помощью CustomTkinter и Tkinter. Pillow используется для рисования палитр и градиентов; цветовые преобразования выполняются функциями проекта.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Для тестирования используется unittest, для сборки ColorLab.exe — PyInstaller. Основные зависимости: CustomTkinter 6.0.0, Pillow 12.3.0 и PyInstaller 6.22.2. Исходники, тесты и сборка размещены в папке lab1 репозитория [3].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3 Теоретические сведения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RGB — аддитивная модель: цвет образуется сложением красного, зелёного и синего света. В приложении используется sRGB с диапазоном компонент от 0 до 255. Перед переходом в XYZ значения нормируются и линеаризуются.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CMYK — субтрактивная модель голубой, пурпурной, жёлтой и чёрной красок. Один RGB-цвет может быть представлен разными сочетаниями CMYK. В ColorLab используется мультипликативная модель без ICC-профиля конкретного печатного устройства.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XYZ задаёт цвет тремя линейными координатами и служит промежуточной моделью. CIELAB описывает светлоту L* и цветовые координаты a* и b*. Положительные a* соответствуют красному направлению, отрицательные — зелёному; положительные b* — жёлтому, отрицательные — синему. LAB рассчитывается относительно выбранной точки белого.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HSV разделяет тон, насыщенность и максимальный RGB-канал, HLS — тон, светлоту и насыщенность. Эти модели рассмотрены в теоретической части задания; панели приложения соответствуют варианту 10.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На цветовом графике МКО используются координаты x = X/(X + Y + Z) и y = Y/(X + Y + Z). Яркость отдельно характеризуется Y. Треугольник первичных цветов sRGB занимает часть диаграммы, поэтому некоторые цвета LAB нельзя отобразить в sRGB. Для чёрного сумма X + Y + Z равна нулю и цветность не определена.</w:t>
      </w:r>
    </w:p>
    <w:p>
      <w:pPr>
        <w:pStyle w:val="1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4 Структура приложения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Model находится в color_models.py. Класс ColorEngine выполняет преобразования RGB, XYZ, LAB и CMYK, рассчитывает матрицы и применяет выбранную стратегию охвата. Матричные операции и обращение методом Гаусса–Жордана реализованы в этом же модуле.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Controller находится в controller.py. Класс ColorController хранит значения компонент, проверяет ввод, пересчитывает модели и подготавливает выборки цветов для ползунков и палитр. Model и Controller не зависят от интерфейса.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View находится в main.py. Класс ColorLab создаёт окно и передаёт события контроллеру. GradientSlider и ColorPalette отображают полученные цвета. Цветовая математика в коде виджетов не выполняется.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5 Интерфейс и обработка событий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Окно содержит три панели CMYK, LAB и RGB, образец текущего цвета и его HEX-код. В верхней части расположены переключатели освещения, алгоритма цветоделения и стратегии охвата. Кнопка «Матрицы» открывает вычисленные прямую и обратную матрицы.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3882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orla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8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3"/>
        <w:spacing w:after="120"/>
        <w:ind w:firstLine="0"/>
        <w:jc w:val="center"/>
      </w:pPr>
      <w:r>
        <w:rPr>
          <w:rFonts w:ascii="Times New Roman" w:hAnsi="Times New Roman"/>
          <w:color w:val="000000"/>
        </w:rPr>
        <w:t>Рисунок 1 — Окно ColorLab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Поля принимают числа с точкой или запятой. Ввод применяется по Enter, при потере фокуса или после паузы 450 мс. Нечисловые значения, NaN и бесконечности вызывают предупреждение; предыдущий цвет сохраняется. Неизменённые поля не теряют внутреннюю точность из-за округления при отображении.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Ползунки поддерживают мышь, стрелки и Home/End. Фон каждого ползунка показывает изменение его компоненты при текущих значениях остальных. Например, изменение R обновляет градиенты G и B. Палитры изменяют C/M, a*/b* и R/G соответственно; остальные координаты фиксированы. Штриховка отмечает цвета вне охвата sRGB.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Обработчик передаёт данные в ColorController.update(). Контроллер получает RGB исходного цвета, приводит его к охвату и вычисляет остальные модели. View обновляет поля и образец, затем перерисовывает градиенты и палитры.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6 Преобразования RGB и XYZ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Все внутренние RGB-компоненты нормированы к [0, 1]. Для значения u = R/255, G/255 или B/255 линеаризация задаётся покомпонентно [2]: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linear(u) = </m:t>
          </m:r>
          <m:f>
            <m:num>
              <m:r>
                <w:rPr>
                  <w:rFonts w:ascii="Cambria Math" w:hAnsi="Cambria Math"/>
                  <w:sz w:val="26"/>
                </w:rPr>
                <m:t>u</m:t>
              </m:r>
            </m:num>
            <m:den>
              <m:r>
                <w:rPr>
                  <w:rFonts w:ascii="Cambria Math" w:hAnsi="Cambria Math"/>
                  <w:sz w:val="26"/>
                </w:rPr>
                <m:t>12.92</m:t>
              </m:r>
            </m:den>
          </m:f>
          <m:r>
            <w:rPr>
              <w:rFonts w:ascii="Cambria Math" w:hAnsi="Cambria Math"/>
              <w:sz w:val="26"/>
            </w:rPr>
            <m:t> при u ≤ 0.04045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linear(u) = </m:t>
          </m:r>
          <m:sSup>
            <m:e>
              <m:r>
                <w:rPr>
                  <w:rFonts w:ascii="Cambria Math" w:hAnsi="Cambria Math"/>
                  <w:sz w:val="26"/>
                </w:rPr>
                <m:t>(</m:t>
              </m:r>
              <m:f>
                <m:num>
                  <m:r>
                    <w:rPr>
                      <w:rFonts w:ascii="Cambria Math" w:hAnsi="Cambria Math"/>
                      <w:sz w:val="26"/>
                    </w:rPr>
                    <m:t>u + 0.055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1.055</m:t>
                  </m:r>
                </m:den>
              </m:f>
              <m:r>
                <w:rPr>
                  <w:rFonts w:ascii="Cambria Math" w:hAnsi="Cambria Math"/>
                  <w:sz w:val="26"/>
                </w:rPr>
                <m:t>)</m:t>
              </m:r>
            </m:e>
            <m:sup>
              <m:r>
                <w:rPr>
                  <w:rFonts w:ascii="Cambria Math" w:hAnsi="Cambria Math"/>
                  <w:sz w:val="26"/>
                </w:rPr>
                <m:t>2.4</m:t>
              </m:r>
            </m:sup>
          </m:sSup>
          <m:r>
            <w:rPr>
              <w:rFonts w:ascii="Cambria Math" w:hAnsi="Cambria Math"/>
              <w:sz w:val="26"/>
            </w:rPr>
            <m:t> при u &gt; 0.04045</m:t>
          </m:r>
        </m:oMath>
      </m:oMathPara>
    </w:p>
    <w:p>
      <w:pPr>
        <w:pStyle w:val="2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Расчёт матрицы перехода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Первичные цветности sRGB: R(0.64; 0.33), G(0.30; 0.60), B(0.15; 0.06). Для каждой пары (x, y) строится столбец P:</w:t>
      </w:r>
    </w:p>
    <w:p>
      <w:pPr>
        <w:spacing w:after="100" w:line="240" w:lineRule="auto"/>
        <w:ind w:firstLine="0"/>
        <w:jc w:val="center"/>
      </w:pPr>
      <m:oMathPara>
        <m:oMath>
          <m:sSup>
            <m:e>
              <m:r>
                <w:rPr>
                  <w:rFonts w:ascii="Cambria Math" w:hAnsi="Cambria Math"/>
                  <w:sz w:val="26"/>
                </w:rPr>
                <m:t>(</m:t>
              </m:r>
              <m:f>
                <m:num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den>
              </m:f>
              <m:r>
                <w:rPr>
                  <w:rFonts w:ascii="Cambria Math" w:hAnsi="Cambria Math"/>
                  <w:sz w:val="26"/>
                </w:rPr>
                <m:t>, 1, </m:t>
              </m:r>
              <m:f>
                <m:num>
                  <m:r>
                    <w:rPr>
                      <w:rFonts w:ascii="Cambria Math" w:hAnsi="Cambria Math"/>
                      <w:sz w:val="26"/>
                    </w:rPr>
                    <m:t>1 − x − y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den>
              </m:f>
              <m:r>
                <w:rPr>
                  <w:rFonts w:ascii="Cambria Math" w:hAnsi="Cambria Math"/>
                  <w:sz w:val="26"/>
                </w:rPr>
                <m:t>)</m:t>
              </m:r>
            </m:e>
            <m:sup>
              <m:r>
                <w:rPr>
                  <w:rFonts w:ascii="Cambria Math" w:hAnsi="Cambria Math"/>
                  <w:sz w:val="26"/>
                </w:rPr>
                <m:t>T</m:t>
              </m:r>
            </m:sup>
          </m:sSup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Из трёх столбцов получается матрица P. Белая точка W рассчитывается той же формулой с нормированием Y = 1. Приняты координаты D65(0.3127; 0.3290), D50(0.3457; 0.3585), E(1/3; 1/3). Для D65: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S = </m:t>
          </m:r>
          <m:sSup>
            <m:e>
              <m:r>
                <w:rPr>
                  <w:rFonts w:ascii="Cambria Math" w:hAnsi="Cambria Math"/>
                  <w:sz w:val="26"/>
                </w:rPr>
                <m:t>P</m:t>
              </m:r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  <m:sSub>
            <m:e>
              <m:r>
                <w:rPr>
                  <w:rFonts w:ascii="Cambria Math" w:hAnsi="Cambria Math"/>
                  <w:sz w:val="26"/>
                </w:rPr>
                <m:t>W</m:t>
              </m:r>
            </m:e>
            <m:sub>
              <m:r>
                <w:rPr>
                  <w:rFonts w:ascii="Cambria Math" w:hAnsi="Cambria Math"/>
                  <w:sz w:val="26"/>
                </w:rPr>
                <m:t>D65</m:t>
              </m:r>
            </m:sub>
          </m:sSub>
          <m:r>
            <w:rPr>
              <w:rFonts w:ascii="Cambria Math" w:hAnsi="Cambria Math"/>
              <w:sz w:val="26"/>
            </w:rPr>
            <m:t>,     </m:t>
          </m:r>
          <m:sSub>
            <m:e>
              <m:r>
                <w:rPr>
                  <w:rFonts w:ascii="Cambria Math" w:hAnsi="Cambria Math"/>
                  <w:sz w:val="26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</w:rPr>
                <m:t>D65</m:t>
              </m:r>
            </m:sub>
          </m:sSub>
          <m:r>
            <w:rPr>
              <w:rFonts w:ascii="Cambria Math" w:hAnsi="Cambria Math"/>
              <w:sz w:val="26"/>
            </w:rPr>
            <m:t> = P diag(S)</m:t>
          </m:r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RGB остаётся экранным sRGB D65. Для LAB относительно D50 или E используется адаптация Bradford. Если B — базис XYZ → LMS, то матрица адаптации и итоговая матрица имеют вид: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A = </m:t>
          </m:r>
          <m:sSup>
            <m:e>
              <m:r>
                <w:rPr>
                  <w:rFonts w:ascii="Cambria Math" w:hAnsi="Cambria Math"/>
                  <w:sz w:val="26"/>
                </w:rPr>
                <m:t>B</m:t>
              </m:r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  <m:r>
            <w:rPr>
              <w:rFonts w:ascii="Cambria Math" w:hAnsi="Cambria Math"/>
              <w:sz w:val="26"/>
            </w:rPr>
            <m:t> diag(</m:t>
          </m:r>
          <m:f>
            <m:num>
              <m:r>
                <w:rPr>
                  <w:rFonts w:ascii="Cambria Math" w:hAnsi="Cambria Math"/>
                  <w:sz w:val="26"/>
                </w:rPr>
                <m:t>B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selected</m:t>
                  </m:r>
                </m:sub>
              </m:sSub>
            </m:num>
            <m:den>
              <m:r>
                <w:rPr>
                  <w:rFonts w:ascii="Cambria Math" w:hAnsi="Cambria Math"/>
                  <w:sz w:val="26"/>
                </w:rPr>
                <m:t>B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D65</m:t>
                  </m:r>
                </m:sub>
              </m:sSub>
            </m:den>
          </m:f>
          <m:r>
            <w:rPr>
              <w:rFonts w:ascii="Cambria Math" w:hAnsi="Cambria Math"/>
              <w:sz w:val="26"/>
            </w:rPr>
            <m:t>) B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sSub>
            <m:e>
              <m:r>
                <w:rPr>
                  <w:rFonts w:ascii="Cambria Math" w:hAnsi="Cambria Math"/>
                  <w:sz w:val="26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</w:rPr>
                <m:t>selected</m:t>
              </m:r>
            </m:sub>
          </m:sSub>
          <m:r>
            <w:rPr>
              <w:rFonts w:ascii="Cambria Math" w:hAnsi="Cambria Math"/>
              <w:sz w:val="26"/>
            </w:rPr>
            <m:t> = A</m:t>
          </m:r>
          <m:sSub>
            <m:e>
              <m:r>
                <w:rPr>
                  <w:rFonts w:ascii="Cambria Math" w:hAnsi="Cambria Math"/>
                  <w:sz w:val="26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</w:rPr>
                <m:t>D65</m:t>
              </m:r>
            </m:sub>
          </m:sSub>
          <m:r>
            <w:rPr>
              <w:rFonts w:ascii="Cambria Math" w:hAnsi="Cambria Math"/>
              <w:sz w:val="26"/>
            </w:rPr>
            <m:t>,     </m:t>
          </m:r>
          <m:sSub>
            <m:e>
              <m:r>
                <w:rPr>
                  <w:rFonts w:ascii="Cambria Math" w:hAnsi="Cambria Math"/>
                  <w:sz w:val="26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</w:rPr>
                <m:t>inverse</m:t>
              </m:r>
            </m:sub>
          </m:sSub>
          <m:r>
            <w:rPr>
              <w:rFonts w:ascii="Cambria Math" w:hAnsi="Cambria Math"/>
              <w:sz w:val="26"/>
            </w:rPr>
            <m:t> = </m:t>
          </m:r>
          <m:sSup>
            <m:e>
              <m:sSub>
                <m:e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selected</m:t>
                  </m:r>
                </m:sub>
              </m:sSub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Деление в диагональной матрице выполняется покомпонентно. Прямые и обратные матрицы пересчитываются при выборе освещения. Готовые таблицы RGB ↔ XYZ в рабочих функциях не используются.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XYZ = M · linear(RGB),     linear(RGB) = </m:t>
          </m:r>
          <m:sSup>
            <m:e>
              <m:r>
                <w:rPr>
                  <w:rFonts w:ascii="Cambria Math" w:hAnsi="Cambria Math"/>
                  <w:sz w:val="26"/>
                </w:rPr>
                <m:t>M</m:t>
              </m:r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  <m:r>
            <w:rPr>
              <w:rFonts w:ascii="Cambria Math" w:hAnsi="Cambria Math"/>
              <w:sz w:val="26"/>
            </w:rPr>
            <m:t> · XYZ</m:t>
          </m:r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После обратного матричного преобразования применяется кодирование sRGB: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encode(u) = 12.92u при u ≤ 0.0031308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encode(u) = 1.055</m:t>
          </m:r>
          <m:sSup>
            <m:e>
              <m:r>
                <w:rPr>
                  <w:rFonts w:ascii="Cambria Math" w:hAnsi="Cambria Math"/>
                  <w:sz w:val="26"/>
                </w:rPr>
                <m:t>u</m:t>
              </m:r>
            </m:e>
            <m:sup>
              <m:f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2.4</m:t>
                  </m:r>
                </m:den>
              </m:f>
            </m:sup>
          </m:sSup>
          <m:r>
            <w:rPr>
              <w:rFonts w:ascii="Cambria Math" w:hAnsi="Cambria Math"/>
              <w:sz w:val="26"/>
            </w:rPr>
            <m:t> − 0.055 при u &gt; 0.0031308</m:t>
          </m:r>
        </m:oMath>
      </m:oMathPara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7 Преобразования LAB и CMYK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Для XYZ → LAB используется выбранный белый (Xn, Yn, Zn) и δ = 6/29. Функция f задана следующим образом: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f(t) = </m:t>
          </m:r>
          <m:sSup>
            <m:e>
              <m:r>
                <w:rPr>
                  <w:rFonts w:ascii="Cambria Math" w:hAnsi="Cambria Math"/>
                  <w:sz w:val="26"/>
                </w:rPr>
                <m:t>t</m:t>
              </m:r>
            </m:e>
            <m:sup>
              <m:f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6"/>
            </w:rPr>
            <m:t> при t &gt; </m:t>
          </m:r>
          <m:sSup>
            <m:e>
              <m:r>
                <w:rPr>
                  <w:rFonts w:ascii="Cambria Math" w:hAnsi="Cambria Math"/>
                  <w:sz w:val="26"/>
                </w:rPr>
                <m:t>δ</m:t>
              </m:r>
            </m:e>
            <m:sup>
              <m:r>
                <w:rPr>
                  <w:rFonts w:ascii="Cambria Math" w:hAnsi="Cambria Math"/>
                  <w:sz w:val="26"/>
                </w:rPr>
                <m:t>3</m:t>
              </m:r>
            </m:sup>
          </m:sSup>
          <m:r>
            <w:rPr>
              <w:rFonts w:ascii="Cambria Math" w:hAnsi="Cambria Math"/>
              <w:sz w:val="26"/>
            </w:rPr>
            <m:t>;     f(t) = </m:t>
          </m:r>
          <m:f>
            <m:num>
              <m:r>
                <w:rPr>
                  <w:rFonts w:ascii="Cambria Math" w:hAnsi="Cambria Math"/>
                  <w:sz w:val="26"/>
                </w:rPr>
                <m:t>t</m:t>
              </m:r>
            </m:num>
            <m:den>
              <m:r>
                <w:rPr>
                  <w:rFonts w:ascii="Cambria Math" w:hAnsi="Cambria Math"/>
                  <w:sz w:val="26"/>
                </w:rPr>
                <m:t>3</m:t>
              </m:r>
              <m:sSup>
                <m:e>
                  <m:r>
                    <w:rPr>
                      <w:rFonts w:ascii="Cambria Math" w:hAnsi="Cambria Math"/>
                      <w:sz w:val="26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6"/>
            </w:rPr>
            <m:t> + </m:t>
          </m:r>
          <m:f>
            <m:num>
              <m:r>
                <w:rPr>
                  <w:rFonts w:ascii="Cambria Math" w:hAnsi="Cambria Math"/>
                  <w:sz w:val="26"/>
                </w:rPr>
                <m:t>4</m:t>
              </m:r>
            </m:num>
            <m:den>
              <m:r>
                <w:rPr>
                  <w:rFonts w:ascii="Cambria Math" w:hAnsi="Cambria Math"/>
                  <w:sz w:val="26"/>
                </w:rPr>
                <m:t>29</m:t>
              </m:r>
            </m:den>
          </m:f>
          <m:r>
            <w:rPr>
              <w:rFonts w:ascii="Cambria Math" w:hAnsi="Cambria Math"/>
              <w:sz w:val="26"/>
            </w:rPr>
            <m:t> иначе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L* = 116f(Y/Yn) − 16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a* = 500[f(X/Xn) − f(Y/Yn)]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b* = 200[f(Y/Yn) − f(Z/Zn)]</m:t>
          </m:r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При LAB → XYZ сначала рассчитываются fy = (L* + 16)/116, fx = fy + a*/500 и fz = fy − b*/200. Затем применяется обратная функция:</w:t>
      </w:r>
    </w:p>
    <w:p>
      <w:pPr>
        <w:spacing w:after="100" w:line="240" w:lineRule="auto"/>
        <w:ind w:firstLine="0"/>
        <w:jc w:val="center"/>
      </w:pPr>
      <m:oMathPara>
        <m:oMath>
          <m:sSup>
            <m:e>
              <m:r>
                <w:rPr>
                  <w:rFonts w:ascii="Cambria Math" w:hAnsi="Cambria Math"/>
                  <w:sz w:val="26"/>
                </w:rPr>
                <m:t>f</m:t>
              </m:r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  <m:r>
            <w:rPr>
              <w:rFonts w:ascii="Cambria Math" w:hAnsi="Cambria Math"/>
              <w:sz w:val="26"/>
            </w:rPr>
            <m:t>(t) = </m:t>
          </m:r>
          <m:sSup>
            <m:e>
              <m:r>
                <w:rPr>
                  <w:rFonts w:ascii="Cambria Math" w:hAnsi="Cambria Math"/>
                  <w:sz w:val="26"/>
                </w:rPr>
                <m:t>t</m:t>
              </m:r>
            </m:e>
            <m:sup>
              <m:r>
                <w:rPr>
                  <w:rFonts w:ascii="Cambria Math" w:hAnsi="Cambria Math"/>
                  <w:sz w:val="26"/>
                </w:rPr>
                <m:t>3</m:t>
              </m:r>
            </m:sup>
          </m:sSup>
          <m:r>
            <w:rPr>
              <w:rFonts w:ascii="Cambria Math" w:hAnsi="Cambria Math"/>
              <w:sz w:val="26"/>
            </w:rPr>
            <m:t> при t &gt; δ;     </m:t>
          </m:r>
          <m:sSup>
            <m:e>
              <m:r>
                <w:rPr>
                  <w:rFonts w:ascii="Cambria Math" w:hAnsi="Cambria Math"/>
                  <w:sz w:val="26"/>
                </w:rPr>
                <m:t>f</m:t>
              </m:r>
            </m:e>
            <m:sup>
              <m:r>
                <w:rPr>
                  <w:rFonts w:ascii="Cambria Math" w:hAnsi="Cambria Math"/>
                  <w:sz w:val="26"/>
                </w:rPr>
                <m:t>−1</m:t>
              </m:r>
            </m:sup>
          </m:sSup>
          <m:r>
            <w:rPr>
              <w:rFonts w:ascii="Cambria Math" w:hAnsi="Cambria Math"/>
              <w:sz w:val="26"/>
            </w:rPr>
            <m:t>(t) = 3</m:t>
          </m:r>
          <m:sSup>
            <m:e>
              <m:r>
                <w:rPr>
                  <w:rFonts w:ascii="Cambria Math" w:hAnsi="Cambria Math"/>
                  <w:sz w:val="26"/>
                </w:rPr>
                <m:t>δ</m:t>
              </m:r>
            </m:e>
            <m:sup>
              <m:r>
                <w:rPr>
                  <w:rFonts w:ascii="Cambria Math" w:hAnsi="Cambria Math"/>
                  <w:sz w:val="26"/>
                </w:rPr>
                <m:t>2</m:t>
              </m:r>
            </m:sup>
          </m:sSup>
          <m:r>
            <w:rPr>
              <w:rFonts w:ascii="Cambria Math" w:hAnsi="Cambria Math"/>
              <w:sz w:val="26"/>
            </w:rPr>
            <m:t>(t − 4/29) иначе</m:t>
          </m:r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Координаты XYZ равны Xn·f⁻¹(fx), Yn·f⁻¹(fy), Zn·f⁻¹(fz). Далее применяется обратная матрица и кодирование RGB.</w:t>
      </w:r>
    </w:p>
    <w:p>
      <w:pPr>
        <w:pStyle w:val="2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Цветоделение UCR и GCR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Для нормированных r, g, b общая серая компонента q = 1 − max(r, g, b). В режиме GCR принимается k = q: серая составляющая заменяется чёрным во всём диапазоне. Для UCR чёрный выделяется в глубоких тенях по кривой: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t = clamp((q − 0.5)/0.5, 0, 1)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k = q · </m:t>
          </m:r>
          <m:sSup>
            <m:e>
              <m:r>
                <w:rPr>
                  <w:rFonts w:ascii="Cambria Math" w:hAnsi="Cambria Math"/>
                  <w:sz w:val="26"/>
                </w:rPr>
                <m:t>t</m:t>
              </m:r>
            </m:e>
            <m:sup>
              <m:r>
                <w:rPr>
                  <w:rFonts w:ascii="Cambria Math" w:hAnsi="Cambria Math"/>
                  <w:sz w:val="26"/>
                </w:rPr>
                <m:t>2</m:t>
              </m:r>
            </m:sup>
          </m:sSup>
          <m:r>
            <w:rPr>
              <w:rFonts w:ascii="Cambria Math" w:hAnsi="Cambria Math"/>
              <w:sz w:val="26"/>
            </w:rPr>
            <m:t>(3 − 2t) · [1 − (max(r,g,b) − min(r,g,b))]</m:t>
          </m:r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Порог начала выделения чёрного принят равным 0.5. Последний множитель ослабляет выделение чёрного на цветных участках. Для k &lt; 1 оставшиеся компоненты рассчитываются одинаково в обоих режимах: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c = </m:t>
          </m:r>
          <m:f>
            <m:num>
              <m:r>
                <w:rPr>
                  <w:rFonts w:ascii="Cambria Math" w:hAnsi="Cambria Math"/>
                  <w:sz w:val="26"/>
                </w:rPr>
                <m:t>1 − r − k</m:t>
              </m:r>
            </m:num>
            <m:den>
              <m:r>
                <w:rPr>
                  <w:rFonts w:ascii="Cambria Math" w:hAnsi="Cambria Math"/>
                  <w:sz w:val="26"/>
                </w:rPr>
                <m:t>1 − k</m:t>
              </m:r>
            </m:den>
          </m:f>
          <m:r>
            <w:rPr>
              <w:rFonts w:ascii="Cambria Math" w:hAnsi="Cambria Math"/>
              <w:sz w:val="26"/>
            </w:rPr>
            <m:t>,     m = </m:t>
          </m:r>
          <m:f>
            <m:num>
              <m:r>
                <w:rPr>
                  <w:rFonts w:ascii="Cambria Math" w:hAnsi="Cambria Math"/>
                  <w:sz w:val="26"/>
                </w:rPr>
                <m:t>1 − g − k</m:t>
              </m:r>
            </m:num>
            <m:den>
              <m:r>
                <w:rPr>
                  <w:rFonts w:ascii="Cambria Math" w:hAnsi="Cambria Math"/>
                  <w:sz w:val="26"/>
                </w:rPr>
                <m:t>1 − k</m:t>
              </m:r>
            </m:den>
          </m:f>
          <m:r>
            <w:rPr>
              <w:rFonts w:ascii="Cambria Math" w:hAnsi="Cambria Math"/>
              <w:sz w:val="26"/>
            </w:rPr>
            <m:t>,     y = </m:t>
          </m:r>
          <m:f>
            <m:num>
              <m:r>
                <w:rPr>
                  <w:rFonts w:ascii="Cambria Math" w:hAnsi="Cambria Math"/>
                  <w:sz w:val="26"/>
                </w:rPr>
                <m:t>1 − b − k</m:t>
              </m:r>
            </m:num>
            <m:den>
              <m:r>
                <w:rPr>
                  <w:rFonts w:ascii="Cambria Math" w:hAnsi="Cambria Math"/>
                  <w:sz w:val="26"/>
                </w:rPr>
                <m:t>1 − k</m:t>
              </m:r>
            </m:den>
          </m:f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Для чёрного k = 1 принимаются c = m = y = 0. Обратный переход: r = (1 − c)(1 − k), g = (1 − m)(1 − k), b = (1 − y)(1 − k). В интерфейсе CMYK выражается в процентах. Переключение UCR/GCR меняет рецепт CMYK, сохраняя RGB.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8 Обработка выхода за охват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При переходе LAB → RGB отдельные компоненты могут выйти за [0, 1]. В режиме Clipping они независимо ограничиваются ближайшей границей. В режиме Scaling ко всем компонентам применяется одно преобразование:</w:t>
      </w:r>
    </w:p>
    <w:p>
      <w:pPr>
        <w:spacing w:after="100" w:line="240" w:lineRule="auto"/>
        <w:ind w:firstLine="0"/>
        <w:jc w:val="center"/>
      </w:pPr>
      <m:oMathPara>
        <m:oMath>
          <m:r>
            <w:rPr>
              <w:rFonts w:ascii="Cambria Math" w:hAnsi="Cambria Math"/>
              <w:sz w:val="26"/>
            </w:rPr>
            <m:t>l = min(0,r,g,b),     h = max(1,r,g,b)</m:t>
          </m:r>
        </m:oMath>
      </m:oMathPara>
    </w:p>
    <w:p>
      <w:pPr>
        <w:spacing w:after="100" w:line="240" w:lineRule="auto"/>
        <w:ind w:firstLine="0"/>
        <w:jc w:val="center"/>
      </w:pPr>
      <m:oMathPara>
        <m:oMath>
          <m:sSub>
            <m:e>
              <m:r>
                <w:rPr>
                  <w:rFonts w:ascii="Cambria Math" w:hAnsi="Cambria Math"/>
                  <w:sz w:val="26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</w:rPr>
                <m:t>mapped</m:t>
              </m:r>
            </m:sub>
          </m:sSub>
          <m:r>
            <w:rPr>
              <w:rFonts w:ascii="Cambria Math" w:hAnsi="Cambria Math"/>
              <w:sz w:val="26"/>
            </w:rPr>
            <m:t> = </m:t>
          </m:r>
          <m:f>
            <m:num>
              <m:r>
                <w:rPr>
                  <w:rFonts w:ascii="Cambria Math" w:hAnsi="Cambria Math"/>
                  <w:sz w:val="26"/>
                </w:rPr>
                <m:t>v − l</m:t>
              </m:r>
            </m:num>
            <m:den>
              <m:r>
                <w:rPr>
                  <w:rFonts w:ascii="Cambria Math" w:hAnsi="Cambria Math"/>
                  <w:sz w:val="26"/>
                </w:rPr>
                <m:t>h − l</m:t>
              </m:r>
            </m:den>
          </m:f>
        </m:oMath>
      </m:oMathPara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При отрицательных значениях Scaling одновременно сжимает и сдвигает диапазон. Отношения разностей каналов сохраняются, но оттенок и насыщенность могут измениться. Для цвета в охвате преобразование не требуется.</w:t>
      </w:r>
    </w:p>
    <w:p>
      <w:pPr>
        <w:pStyle w:val="af3"/>
        <w:keepNext/>
        <w:spacing w:after="100"/>
        <w:ind w:firstLine="0"/>
        <w:jc w:val="both"/>
      </w:pPr>
      <w:r>
        <w:rPr>
          <w:rFonts w:ascii="Times New Roman" w:hAnsi="Times New Roman"/>
          <w:color w:val="000000"/>
        </w:rPr>
        <w:t>Таблица 1 — Обработка нормированных RGB-компонент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Исходный RGB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Clipping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Scaling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−0.2; 0.4; 1.4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0.4; 1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0.375; 1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0.4; 0.8; 1.6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0.4; 0.8; 1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0.25; 0.5; 1</w:t>
            </w:r>
          </w:p>
        </w:tc>
      </w:tr>
    </w:tbl>
    <w:p>
      <w:pPr>
        <w:spacing w:after="20" w:line="60" w:lineRule="exact"/>
        <w:jc w:val="both"/>
      </w:pPr>
      <w:r>
        <w:rPr>
          <w:rFonts w:ascii="Times New Roman" w:hAnsi="Times New Roman"/>
          <w:color w:val="000000"/>
          <w:sz w:val="6"/>
        </w:rPr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Для LAB вне охвата исходные координаты сохраняются в полях LAB, а RGB, CMYK и образец показывают приведённый цвет. Предупреждение сообщает об этом различии. При смене освещения пересчитываются LAB и матрицы; при необходимости новые LAB-координаты ограничиваются диапазонами полей.</w:t>
      </w:r>
    </w:p>
    <w:p>
      <w:pPr>
        <w:pStyle w:val="1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9 Тестирование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Проверки находятся в test_colors.py, test_extended.py и test_ui.py. Повторный запуск 14 сентября 2026 года завершился успешно: выполнены все 36 тестов. Из них 31 проверяет математику и контроллер, 5 — взаимодействие виджетов.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Эталонные тесты проверяют основные цвета, матрицу sRGB и красный LAB D50. Для D65, D50 и E проверяются белый, чёрный, обратимость матриц и изменение коэффициентов при переключении освещения.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Кроме исходных 2000 случайных цветов, проверяются по 1000 цветов для каждой из шести комбинаций освещения и UCR/GCR. Для дополнительных 6000 цветов допуск обратного преобразования равен 10⁻⁸ по нормированному каналу. Начальные состояния генераторов фиксированы.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Контроллер и виджеты проверяются на неверный ввод, синхронизацию, смену настроек, выбор цвета, обновление градиентов и матриц.</w:t>
      </w:r>
    </w:p>
    <w:p>
      <w:pPr>
        <w:pStyle w:val="1"/>
        <w:pageBreakBefore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10 Результаты проверки</w:t>
      </w:r>
    </w:p>
    <w:p>
      <w:pPr>
        <w:pStyle w:val="af3"/>
        <w:keepNext/>
        <w:spacing w:after="100"/>
        <w:ind w:firstLine="0"/>
        <w:jc w:val="both"/>
      </w:pPr>
      <w:r>
        <w:rPr>
          <w:rFonts w:ascii="Times New Roman" w:hAnsi="Times New Roman"/>
          <w:color w:val="000000"/>
        </w:rPr>
        <w:t>Таблица 2 — Основные цвета при D65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247"/>
        <w:gridCol w:w="1417"/>
        <w:gridCol w:w="1417"/>
        <w:gridCol w:w="3402"/>
      </w:tblGrid>
      <w:tr>
        <w:trPr>
          <w:tblHeader/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RGB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L*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a*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b*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CMYK при GCR %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255; 0; 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53.2371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80.0901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67.2033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100; 100; 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255; 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87.7355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−86.1816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83.1866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100; 0; 100; 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255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32.3009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79.1953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−107.8555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100; 100; 0; 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255; 255; 255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100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0; 0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  <w:tc>
          <w:tcPr>
            <w:tcW w:type="dxa" w:w="340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0; 100</w:t>
            </w:r>
          </w:p>
        </w:tc>
      </w:tr>
    </w:tbl>
    <w:p>
      <w:pPr>
        <w:spacing w:after="20" w:line="60" w:lineRule="exact"/>
        <w:jc w:val="both"/>
      </w:pPr>
      <w:r>
        <w:rPr>
          <w:rFonts w:ascii="Times New Roman" w:hAnsi="Times New Roman"/>
          <w:color w:val="000000"/>
          <w:sz w:val="6"/>
        </w:rPr>
      </w:r>
    </w:p>
    <w:p>
      <w:pPr>
        <w:pStyle w:val="af3"/>
        <w:keepNext/>
        <w:spacing w:after="100"/>
        <w:ind w:firstLine="0"/>
        <w:jc w:val="both"/>
      </w:pPr>
      <w:r>
        <w:rPr>
          <w:rFonts w:ascii="Times New Roman" w:hAnsi="Times New Roman"/>
          <w:color w:val="000000"/>
        </w:rPr>
        <w:t>Таблица 3 — RGB 255 0 0 при разных точках белого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Освещение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L*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a*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b*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D65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53.2371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80.0901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67.2033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D50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54.2905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80.8049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69.8910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E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54.3258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76.7196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69.5112</w:t>
            </w:r>
          </w:p>
        </w:tc>
      </w:tr>
    </w:tbl>
    <w:p>
      <w:pPr>
        <w:spacing w:after="20" w:line="60" w:lineRule="exact"/>
        <w:jc w:val="both"/>
      </w:pPr>
      <w:r>
        <w:rPr>
          <w:rFonts w:ascii="Times New Roman" w:hAnsi="Times New Roman"/>
          <w:color w:val="000000"/>
          <w:sz w:val="6"/>
        </w:rPr>
      </w:r>
    </w:p>
    <w:p>
      <w:pPr>
        <w:pStyle w:val="af3"/>
        <w:keepNext/>
        <w:spacing w:after="100"/>
        <w:ind w:firstLine="0"/>
        <w:jc w:val="both"/>
      </w:pPr>
      <w:r>
        <w:rPr>
          <w:rFonts w:ascii="Times New Roman" w:hAnsi="Times New Roman"/>
          <w:color w:val="000000"/>
        </w:rPr>
        <w:t>Таблица 4 — Сравнение цветоделения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Нормированный RGB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CMYK при GCR %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DEDED"/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CMYK при UCR %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0.5; 0.5; 0.5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0; 50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50; 50; 50; 0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0.25; 0.25; 0.25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0; 0; 0; 75</w:t>
            </w:r>
          </w:p>
        </w:tc>
        <w:tc>
          <w:tcPr>
            <w:tcW w:type="dxa" w:w="311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60; 60; 60; 37.5</w:t>
            </w:r>
          </w:p>
        </w:tc>
      </w:tr>
    </w:tbl>
    <w:p>
      <w:pPr>
        <w:spacing w:after="20" w:line="60" w:lineRule="exact"/>
        <w:jc w:val="both"/>
      </w:pPr>
      <w:r>
        <w:rPr>
          <w:rFonts w:ascii="Times New Roman" w:hAnsi="Times New Roman"/>
          <w:color w:val="000000"/>
          <w:sz w:val="6"/>
        </w:rPr>
      </w:r>
    </w:p>
    <w:p>
      <w:pPr>
        <w:pStyle w:val="1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11 Выводы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В работе рассмотрены цветовые модели и реализованы преобразования CMYK ↔ LAB ↔ RGB. Для XYZ и LAB учитывается выбранная точка белого; матрицы вычисляются при смене освещения. UCR и GCR дают разные рецепты CMYK для одного цвета, а Clipping и Scaling позволяют обрабатывать цвета вне охвата sRGB.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</w:rPr>
        <w:t>ColorLab поддерживает числовой ввод, ползунки и палитры с автоматическим пересчётом. Разделение на Model, View и Controller позволяет проверять вычисления отдельно от окна. Эталонные, случайные и интерфейсные тесты завершились без ошибок.</w:t>
      </w:r>
    </w:p>
    <w:p>
      <w:pPr>
        <w:pStyle w:val="1"/>
        <w:spacing w:after="120"/>
        <w:ind w:firstLine="0"/>
        <w:jc w:val="both"/>
      </w:pPr>
      <w:r>
        <w:rPr>
          <w:rFonts w:ascii="Times New Roman" w:hAnsi="Times New Roman"/>
          <w:color w:val="000000"/>
        </w:rPr>
        <w:t>Источники</w:t>
      </w:r>
    </w:p>
    <w:p>
      <w:pPr>
        <w:spacing w:after="80"/>
        <w:ind w:firstLine="0"/>
        <w:jc w:val="both"/>
      </w:pPr>
      <w:r>
        <w:rPr>
          <w:rFonts w:ascii="Times New Roman" w:hAnsi="Times New Roman"/>
          <w:color w:val="000000"/>
          <w:sz w:val="22"/>
        </w:rPr>
        <w:t>1. Лабораторная работа 1. Цветовые модели. Задание и дополнительные требования.</w:t>
      </w:r>
    </w:p>
    <w:p>
      <w:pPr>
        <w:spacing w:after="80"/>
        <w:ind w:firstLine="0"/>
        <w:jc w:val="both"/>
      </w:pPr>
      <w:r>
        <w:rPr>
          <w:rFonts w:ascii="Times New Roman" w:hAnsi="Times New Roman"/>
          <w:color w:val="000000"/>
          <w:sz w:val="22"/>
        </w:rPr>
        <w:t>2. W3C. CSS Color Module Level 4. Color Conversions. https://www.w3.org/TR/css-color-4/#color-conversion-code</w:t>
      </w:r>
    </w:p>
    <w:p>
      <w:pPr>
        <w:spacing w:after="80"/>
        <w:ind w:firstLine="0"/>
        <w:jc w:val="both"/>
      </w:pPr>
      <w:r>
        <w:rPr>
          <w:rFonts w:ascii="Times New Roman" w:hAnsi="Times New Roman"/>
          <w:color w:val="000000"/>
          <w:sz w:val="22"/>
        </w:rPr>
        <w:t>3. Исходный код ColorLab. https://github.com/Cramge/pkglabs_charnyshou/tree/main/lab1</w:t>
      </w:r>
    </w:p>
    <w:sectPr w:rsidR="00B26F69">
      <w:footerReference w:type="even" r:id="rId8"/>
      <w:footerReference w:type="default" r:id="rId9"/>
      <w:footerReference w:type="first" r:id="rId10"/>
      <w:headerReference w:type="default" r:id="rId13"/>
      <w:headerReference w:type="first" r:id="rId14"/>
      <w:pgSz w:w="11906" w:h="16838"/>
      <w:pgMar w:top="1134" w:right="850" w:bottom="1134" w:left="1701" w:header="567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77AB3" w14:textId="77777777" w:rsidR="00D90367" w:rsidRDefault="00D90367">
      <w:pPr>
        <w:spacing w:line="240" w:lineRule="auto"/>
      </w:pPr>
      <w:r>
        <w:separator/>
      </w:r>
    </w:p>
  </w:endnote>
  <w:endnote w:type="continuationSeparator" w:id="0">
    <w:p w14:paraId="4339A9F9" w14:textId="77777777" w:rsidR="00D90367" w:rsidRDefault="00D90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809C3" w14:textId="77777777" w:rsidR="00B26F69" w:rsidRDefault="00B26F6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ind w:firstLine="0"/>
      <w:jc w:val="center"/>
    </w:pPr>
    <w:fldSimple w:instr="PAGE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43479" w14:textId="77777777" w:rsidR="00D90367" w:rsidRDefault="00D90367">
      <w:pPr>
        <w:spacing w:line="240" w:lineRule="auto"/>
      </w:pPr>
      <w:r>
        <w:separator/>
      </w:r>
    </w:p>
  </w:footnote>
  <w:footnote w:type="continuationSeparator" w:id="0">
    <w:p w14:paraId="71B59258" w14:textId="77777777" w:rsidR="00D90367" w:rsidRDefault="00D90367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A0D"/>
    <w:multiLevelType w:val="hybridMultilevel"/>
    <w:tmpl w:val="577A48D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FC795D"/>
    <w:multiLevelType w:val="multilevel"/>
    <w:tmpl w:val="8EB43ABA"/>
    <w:lvl w:ilvl="0">
      <w:start w:val="1"/>
      <w:numFmt w:val="bullet"/>
      <w:lvlText w:val=""/>
      <w:lvlJc w:val="left"/>
      <w:pPr>
        <w:tabs>
          <w:tab w:val="num" w:pos="-502"/>
        </w:tabs>
        <w:ind w:left="92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2"/>
        </w:tabs>
        <w:ind w:left="16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2"/>
        </w:tabs>
        <w:ind w:left="23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2"/>
        </w:tabs>
        <w:ind w:left="30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2"/>
        </w:tabs>
        <w:ind w:left="38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2"/>
        </w:tabs>
        <w:ind w:left="45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2"/>
        </w:tabs>
        <w:ind w:left="52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2"/>
        </w:tabs>
        <w:ind w:left="59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2"/>
        </w:tabs>
        <w:ind w:left="6687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653145"/>
    <w:multiLevelType w:val="hybridMultilevel"/>
    <w:tmpl w:val="CB9215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1B1BE6"/>
    <w:multiLevelType w:val="multilevel"/>
    <w:tmpl w:val="0AF01F4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6436CF5"/>
    <w:multiLevelType w:val="multilevel"/>
    <w:tmpl w:val="8B5CE1CA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0D31D5A"/>
    <w:multiLevelType w:val="hybridMultilevel"/>
    <w:tmpl w:val="8B18AF8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BD3470"/>
    <w:multiLevelType w:val="multilevel"/>
    <w:tmpl w:val="E772B8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9936A29"/>
    <w:multiLevelType w:val="multilevel"/>
    <w:tmpl w:val="6BB46F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2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F69"/>
    <w:rsid w:val="000E58DC"/>
    <w:rsid w:val="001C7611"/>
    <w:rsid w:val="008932BC"/>
    <w:rsid w:val="008F0400"/>
    <w:rsid w:val="00AF502E"/>
    <w:rsid w:val="00B26F69"/>
    <w:rsid w:val="00C6614C"/>
    <w:rsid w:val="00D026B8"/>
    <w:rsid w:val="00D8705B"/>
    <w:rsid w:val="00D90367"/>
    <w:rsid w:val="00F03EAF"/>
    <w:rsid w:val="00F44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437D6"/>
  <w15:docId w15:val="{7ED9D7B0-66D2-4363-8E25-4540AF1F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4BA3"/>
    <w:pPr>
      <w:keepNext w:val="0"/>
      <w:pageBreakBefore w:val="0"/>
      <w:spacing w:line="276" w:lineRule="auto" w:before="0" w:after="120"/>
      <w:ind w:firstLine="709"/>
      <w:jc w:val="both"/>
    </w:pPr>
    <w:rPr>
      <w:rFonts w:eastAsia="Calibri" w:ascii="Times New Roman" w:hAnsi="Times New Roman"/>
      <w:caps w:val="0"/>
      <w:color w:val="000000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rsid w:val="00897255"/>
    <w:pPr>
      <w:keepNext/>
      <w:pageBreakBefore w:val="0"/>
      <w:spacing w:after="160" w:before="200" w:line="276" w:lineRule="auto"/>
      <w:ind w:firstLine="0"/>
      <w:jc w:val="left"/>
      <w:outlineLvl w:val="0"/>
    </w:pPr>
    <w:rPr>
      <w:rFonts w:eastAsiaTheme="majorEastAsia" w:cstheme="majorBidi" w:ascii="Times New Roman" w:hAnsi="Times New Roman"/>
      <w:b/>
      <w:bCs/>
      <w:caps w:val="0"/>
      <w:color w:val="000000"/>
      <w:kern w:val="2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4C4BA3"/>
    <w:pPr>
      <w:keepNext/>
      <w:pageBreakBefore w:val="0"/>
      <w:spacing w:before="200" w:after="160" w:line="276" w:lineRule="auto"/>
      <w:ind w:firstLine="0"/>
      <w:jc w:val="left"/>
      <w:textAlignment w:val="baseline"/>
      <w:outlineLvl w:val="1"/>
    </w:pPr>
    <w:rPr>
      <w:rFonts w:cs="Times New Roman CYR" w:ascii="Times New Roman" w:hAnsi="Times New Roman"/>
      <w:b/>
      <w:bCs/>
      <w:caps w:val="0"/>
      <w:color w:val="000000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97255"/>
    <w:rPr>
      <w:rFonts w:eastAsiaTheme="majorEastAsia" w:cstheme="majorBidi"/>
      <w:b/>
      <w:bCs/>
      <w:caps/>
      <w:kern w:val="2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qFormat/>
    <w:rsid w:val="004C4BA3"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character" w:customStyle="1" w:styleId="a3">
    <w:name w:val="Заголовок Знак"/>
    <w:basedOn w:val="a0"/>
    <w:link w:val="a4"/>
    <w:qFormat/>
    <w:rsid w:val="004D7F4E"/>
    <w:rPr>
      <w:rFonts w:eastAsia="Calibri"/>
      <w:b/>
      <w:bCs/>
      <w:kern w:val="2"/>
      <w:sz w:val="28"/>
      <w:szCs w:val="28"/>
      <w:lang w:eastAsia="en-US"/>
    </w:rPr>
  </w:style>
  <w:style w:type="character" w:customStyle="1" w:styleId="11">
    <w:name w:val="Стиль1 Знак"/>
    <w:basedOn w:val="10"/>
    <w:link w:val="12"/>
    <w:qFormat/>
    <w:rsid w:val="00DF6593"/>
    <w:rPr>
      <w:rFonts w:asciiTheme="majorHAnsi" w:eastAsiaTheme="majorEastAsia" w:hAnsiTheme="majorHAnsi" w:cstheme="majorBidi"/>
      <w:b/>
      <w:bCs/>
      <w:caps/>
      <w:kern w:val="2"/>
      <w:sz w:val="24"/>
      <w:szCs w:val="24"/>
      <w:lang w:eastAsia="en-US"/>
    </w:rPr>
  </w:style>
  <w:style w:type="character" w:styleId="a5">
    <w:name w:val="Subtle Reference"/>
    <w:basedOn w:val="a0"/>
    <w:uiPriority w:val="31"/>
    <w:qFormat/>
    <w:rsid w:val="00897255"/>
    <w:rPr>
      <w:smallCaps/>
      <w:color w:val="5A5A5A" w:themeColor="text1" w:themeTint="A5"/>
    </w:rPr>
  </w:style>
  <w:style w:type="character" w:styleId="a6">
    <w:name w:val="Intense Emphasis"/>
    <w:basedOn w:val="a0"/>
    <w:uiPriority w:val="21"/>
    <w:qFormat/>
    <w:rsid w:val="00897255"/>
    <w:rPr>
      <w:i/>
      <w:iCs/>
      <w:color w:val="4F81BD" w:themeColor="accent1"/>
    </w:rPr>
  </w:style>
  <w:style w:type="character" w:customStyle="1" w:styleId="a7">
    <w:name w:val="Основной текст с отступом Знак"/>
    <w:basedOn w:val="a0"/>
    <w:link w:val="a8"/>
    <w:uiPriority w:val="99"/>
    <w:semiHidden/>
    <w:qFormat/>
    <w:rsid w:val="000D0A38"/>
    <w:rPr>
      <w:rFonts w:ascii="Calibri" w:eastAsia="Calibri" w:hAnsi="Calibri"/>
      <w:sz w:val="22"/>
      <w:szCs w:val="22"/>
      <w:lang w:eastAsia="en-US"/>
    </w:rPr>
  </w:style>
  <w:style w:type="character" w:styleId="a9">
    <w:name w:val="Hyperlink"/>
    <w:uiPriority w:val="99"/>
    <w:unhideWhenUsed/>
    <w:rsid w:val="000C25E4"/>
    <w:rPr>
      <w:color w:val="0000FF"/>
      <w:u w:val="single"/>
    </w:rPr>
  </w:style>
  <w:style w:type="character" w:customStyle="1" w:styleId="aa">
    <w:name w:val="Верхний колонтитул Знак"/>
    <w:basedOn w:val="a0"/>
    <w:link w:val="ab"/>
    <w:uiPriority w:val="99"/>
    <w:semiHidden/>
    <w:qFormat/>
    <w:rsid w:val="008146E7"/>
    <w:rPr>
      <w:rFonts w:ascii="Calibri" w:eastAsia="Calibri" w:hAnsi="Calibri"/>
      <w:sz w:val="22"/>
      <w:szCs w:val="22"/>
      <w:lang w:eastAsia="en-US"/>
    </w:rPr>
  </w:style>
  <w:style w:type="character" w:customStyle="1" w:styleId="ac">
    <w:name w:val="Нижний колонтитул Знак"/>
    <w:basedOn w:val="a0"/>
    <w:link w:val="ad"/>
    <w:uiPriority w:val="99"/>
    <w:qFormat/>
    <w:rsid w:val="008146E7"/>
    <w:rPr>
      <w:rFonts w:ascii="Calibri" w:eastAsia="Calibri" w:hAnsi="Calibri"/>
      <w:sz w:val="22"/>
      <w:szCs w:val="22"/>
      <w:lang w:eastAsia="en-US"/>
    </w:rPr>
  </w:style>
  <w:style w:type="character" w:styleId="ae">
    <w:name w:val="Book Title"/>
    <w:uiPriority w:val="33"/>
    <w:qFormat/>
    <w:rsid w:val="00B571C7"/>
    <w:rPr>
      <w:rFonts w:ascii="Times New Roman" w:hAnsi="Times New Roman"/>
      <w:b/>
      <w:bCs/>
      <w:i w:val="0"/>
      <w:caps/>
      <w:strike w:val="0"/>
      <w:dstrike w:val="0"/>
      <w:vanish w:val="0"/>
      <w:color w:val="000000"/>
      <w:spacing w:val="5"/>
      <w:position w:val="0"/>
      <w:sz w:val="32"/>
      <w:vertAlign w:val="baseline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sid w:val="000F7025"/>
    <w:rPr>
      <w:rFonts w:ascii="Tahoma" w:eastAsia="Calibri" w:hAnsi="Tahoma" w:cs="Tahoma"/>
      <w:sz w:val="16"/>
      <w:szCs w:val="16"/>
      <w:lang w:eastAsia="en-US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qFormat/>
    <w:pPr>
      <w:keepNext w:val="0"/>
      <w:pageBreakBefore w:val="0"/>
      <w:suppressLineNumbers/>
      <w:spacing w:before="0" w:after="120" w:line="276" w:lineRule="auto"/>
      <w:ind w:firstLine="0"/>
    </w:pPr>
    <w:rPr>
      <w:rFonts w:cs="Noto Sans Devanagari" w:ascii="Times New Roman" w:hAnsi="Times New Roman"/>
      <w:i w:val="0"/>
      <w:iCs/>
      <w:caps w:val="0"/>
      <w:color w:val="000000"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link w:val="a3"/>
    <w:qFormat/>
    <w:rsid w:val="004D7F4E"/>
    <w:pPr>
      <w:keepNext w:val="0"/>
      <w:pageBreakBefore w:val="0"/>
      <w:spacing w:line="276" w:lineRule="auto" w:before="0" w:after="120"/>
      <w:ind w:firstLine="0"/>
      <w:jc w:val="center"/>
      <w:textAlignment w:val="baseline"/>
    </w:pPr>
    <w:rPr>
      <w:rFonts w:ascii="Times New Roman" w:hAnsi="Times New Roman"/>
      <w:b/>
      <w:bCs/>
      <w:caps w:val="0"/>
      <w:color w:val="000000"/>
      <w:kern w:val="2"/>
      <w:sz w:val="36"/>
    </w:rPr>
  </w:style>
  <w:style w:type="paragraph" w:styleId="af4">
    <w:name w:val="List Paragraph"/>
    <w:basedOn w:val="a"/>
    <w:uiPriority w:val="99"/>
    <w:qFormat/>
    <w:rsid w:val="00DF6593"/>
    <w:pPr>
      <w:ind w:left="720"/>
    </w:pPr>
    <w:rPr>
      <w:rFonts w:cs="Calibri"/>
    </w:rPr>
  </w:style>
  <w:style w:type="paragraph" w:customStyle="1" w:styleId="12">
    <w:name w:val="Стиль1"/>
    <w:basedOn w:val="1"/>
    <w:link w:val="11"/>
    <w:qFormat/>
    <w:rsid w:val="00DF6593"/>
    <w:pPr>
      <w:spacing w:after="0"/>
      <w:ind w:firstLine="720"/>
    </w:pPr>
    <w:rPr>
      <w:rFonts w:cs="Times New Roman"/>
      <w:b w:val="0"/>
      <w:sz w:val="24"/>
      <w:szCs w:val="24"/>
    </w:rPr>
  </w:style>
  <w:style w:type="paragraph" w:customStyle="1" w:styleId="13">
    <w:name w:val="з1"/>
    <w:basedOn w:val="a8"/>
    <w:qFormat/>
    <w:rsid w:val="00897255"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styleId="a8">
    <w:name w:val="Body Text Indent"/>
    <w:basedOn w:val="a"/>
    <w:link w:val="a7"/>
    <w:uiPriority w:val="99"/>
    <w:semiHidden/>
    <w:unhideWhenUsed/>
    <w:rsid w:val="000D0A38"/>
    <w:pPr>
      <w:spacing w:after="120"/>
      <w:ind w:left="283"/>
    </w:pPr>
  </w:style>
  <w:style w:type="paragraph" w:customStyle="1" w:styleId="af5">
    <w:name w:val="обТ"/>
    <w:basedOn w:val="13"/>
    <w:qFormat/>
    <w:rsid w:val="000D0A38"/>
    <w:pPr>
      <w:jc w:val="both"/>
    </w:pPr>
    <w:rPr>
      <w:b w:val="0"/>
      <w:szCs w:val="24"/>
    </w:rPr>
  </w:style>
  <w:style w:type="paragraph" w:styleId="3">
    <w:name w:val="toc 3"/>
    <w:basedOn w:val="a"/>
    <w:next w:val="a"/>
    <w:autoRedefine/>
    <w:uiPriority w:val="39"/>
    <w:rsid w:val="000C25E4"/>
    <w:pPr>
      <w:tabs>
        <w:tab w:val="right" w:leader="dot" w:pos="9360"/>
      </w:tabs>
      <w:spacing w:line="360" w:lineRule="auto"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link w:val="aa"/>
    <w:uiPriority w:val="99"/>
    <w:semiHidden/>
    <w:unhideWhenUsed/>
    <w:rsid w:val="008146E7"/>
    <w:pPr>
      <w:tabs>
        <w:tab w:val="center" w:pos="4677"/>
        <w:tab w:val="right" w:pos="9355"/>
      </w:tabs>
      <w:spacing w:line="240" w:lineRule="auto"/>
    </w:pPr>
  </w:style>
  <w:style w:type="paragraph" w:styleId="ad">
    <w:name w:val="footer"/>
    <w:basedOn w:val="a"/>
    <w:link w:val="ac"/>
    <w:uiPriority w:val="99"/>
    <w:unhideWhenUsed/>
    <w:rsid w:val="008146E7"/>
    <w:pPr>
      <w:tabs>
        <w:tab w:val="center" w:pos="4677"/>
        <w:tab w:val="right" w:pos="9355"/>
      </w:tabs>
      <w:spacing w:line="240" w:lineRule="auto"/>
    </w:pPr>
  </w:style>
  <w:style w:type="paragraph" w:styleId="af6">
    <w:name w:val="No Spacing"/>
    <w:uiPriority w:val="1"/>
    <w:qFormat/>
    <w:rsid w:val="00B571C7"/>
    <w:rPr>
      <w:rFonts w:ascii="Calibri" w:eastAsia="Calibri" w:hAnsi="Calibri"/>
      <w:sz w:val="22"/>
      <w:szCs w:val="22"/>
      <w:lang w:eastAsia="en-US"/>
    </w:rPr>
  </w:style>
  <w:style w:type="paragraph" w:customStyle="1" w:styleId="af7">
    <w:name w:val="Рисунок и подпись"/>
    <w:basedOn w:val="a"/>
    <w:qFormat/>
    <w:rsid w:val="00A65E1B"/>
    <w:pPr>
      <w:spacing w:before="240" w:after="240" w:line="240" w:lineRule="auto"/>
      <w:ind w:firstLine="0"/>
      <w:jc w:val="center"/>
    </w:pPr>
    <w:rPr>
      <w:rFonts w:eastAsia="Times New Roman"/>
      <w:color w:val="000000" w:themeColor="text1"/>
      <w:sz w:val="26"/>
      <w:lang w:eastAsia="ru-RU"/>
    </w:rPr>
  </w:style>
  <w:style w:type="paragraph" w:customStyle="1" w:styleId="af8">
    <w:name w:val="Код"/>
    <w:basedOn w:val="a"/>
    <w:qFormat/>
    <w:rsid w:val="004110C8"/>
    <w:pPr>
      <w:spacing w:line="240" w:lineRule="auto"/>
      <w:ind w:firstLine="0"/>
      <w:jc w:val="left"/>
    </w:pPr>
    <w:rPr>
      <w:rFonts w:ascii="Courier New" w:hAnsi="Courier New"/>
      <w:sz w:val="26"/>
      <w:lang w:val="en-US"/>
    </w:rPr>
  </w:style>
  <w:style w:type="paragraph" w:customStyle="1" w:styleId="21">
    <w:name w:val="з2"/>
    <w:basedOn w:val="13"/>
    <w:qFormat/>
    <w:rsid w:val="00770D03"/>
    <w:pPr>
      <w:jc w:val="right"/>
    </w:pPr>
  </w:style>
  <w:style w:type="paragraph" w:styleId="af9">
    <w:name w:val="index heading"/>
    <w:basedOn w:val="Heading"/>
  </w:style>
  <w:style w:type="paragraph" w:styleId="afa">
    <w:name w:val="TOC Heading"/>
    <w:basedOn w:val="1"/>
    <w:next w:val="a"/>
    <w:uiPriority w:val="39"/>
    <w:unhideWhenUsed/>
    <w:qFormat/>
    <w:rsid w:val="00E8102C"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kern w:val="0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E8102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8102C"/>
    <w:pPr>
      <w:spacing w:after="100"/>
      <w:ind w:left="280"/>
    </w:pPr>
  </w:style>
  <w:style w:type="paragraph" w:styleId="af0">
    <w:name w:val="Balloon Text"/>
    <w:basedOn w:val="a"/>
    <w:link w:val="af"/>
    <w:uiPriority w:val="99"/>
    <w:semiHidden/>
    <w:unhideWhenUsed/>
    <w:qFormat/>
    <w:rsid w:val="000F702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b">
    <w:name w:val="Содержимое таблицы"/>
    <w:basedOn w:val="a"/>
    <w:next w:val="a"/>
    <w:qFormat/>
    <w:rsid w:val="00046DEF"/>
    <w:pPr>
      <w:ind w:firstLine="0"/>
      <w:jc w:val="left"/>
    </w:pPr>
    <w:rPr>
      <w:sz w:val="26"/>
      <w:szCs w:val="26"/>
    </w:rPr>
  </w:style>
  <w:style w:type="table" w:styleId="afc">
    <w:name w:val="Table Grid"/>
    <w:basedOn w:val="a1"/>
    <w:uiPriority w:val="59"/>
    <w:rsid w:val="00686B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"/>
    <w:basedOn w:val="a1"/>
    <w:uiPriority w:val="39"/>
    <w:rsid w:val="004168D6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5371-4447-4B77-91F4-F669B8FDF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1129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bsu</Company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1 Цветовые модели</dc:title>
  <dc:subject>ColorLab Вариант 10</dc:subject>
  <dc:creator>Чернышов Матвей</dc:creator>
  <dc:description/>
  <cp:lastModifiedBy>Чернышов Матвей</cp:lastModifiedBy>
  <cp:revision>2</cp:revision>
  <dcterms:created xsi:type="dcterms:W3CDTF">2026-09-14T00:00:00Z</dcterms:created>
  <dcterms:modified xsi:type="dcterms:W3CDTF">2026-09-14T00:00:00Z</dcterms:modified>
  <dc:language>en-US</dc:language>
  <cp:keywords/>
</cp:coreProperties>
</file>