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4009" w14:textId="77777777" w:rsidR="005E253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Proprietary</w:t>
      </w:r>
    </w:p>
    <w:p w14:paraId="72BE7E92" w14:textId="77777777" w:rsidR="005E2537" w:rsidRDefault="005E2537">
      <w:pPr>
        <w:spacing w:after="40"/>
      </w:pPr>
    </w:p>
    <w:p w14:paraId="110A970F" w14:textId="77777777" w:rsidR="005E2537" w:rsidRDefault="00000000">
      <w:pPr>
        <w:spacing w:after="60"/>
      </w:pPr>
      <w:r>
        <w:rPr>
          <w:color w:val="595959"/>
          <w:sz w:val="18"/>
          <w:szCs w:val="18"/>
        </w:rPr>
        <w:t>ARPA-H Mission Office Solution Summary</w:t>
      </w:r>
    </w:p>
    <w:p w14:paraId="5E51E334" w14:textId="77777777" w:rsidR="005E2537" w:rsidRDefault="00000000">
      <w:pPr>
        <w:spacing w:after="80"/>
      </w:pPr>
      <w:r>
        <w:rPr>
          <w:b/>
          <w:bCs/>
          <w:color w:val="1F3864"/>
          <w:sz w:val="36"/>
          <w:szCs w:val="36"/>
        </w:rPr>
        <w:t>Decoding the Immune Trajectory:</w:t>
      </w:r>
    </w:p>
    <w:p w14:paraId="06862A0B" w14:textId="77777777" w:rsidR="005E2537" w:rsidRDefault="00000000">
      <w:pPr>
        <w:spacing w:after="180"/>
      </w:pPr>
      <w:r>
        <w:rPr>
          <w:b/>
          <w:bCs/>
          <w:color w:val="2F5496"/>
          <w:sz w:val="28"/>
          <w:szCs w:val="28"/>
        </w:rPr>
        <w:t>A Universal Ambulatory Cytokine Monitoring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5E2537" w14:paraId="5186B4FB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ADE7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Innovative Solutions Opening Title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762D1" w14:textId="77777777" w:rsidR="005E2537" w:rsidRDefault="00000000">
            <w:r>
              <w:rPr>
                <w:sz w:val="20"/>
                <w:szCs w:val="20"/>
              </w:rPr>
              <w:t>ARPA-H Proactive Health Office Mission Office ISO — ARPA-H-SOL-24-106</w:t>
            </w:r>
          </w:p>
        </w:tc>
      </w:tr>
      <w:tr w:rsidR="005E2537" w14:paraId="06160B03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9DED8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Solution Summary Title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6E042" w14:textId="77777777" w:rsidR="005E2537" w:rsidRDefault="00000000">
            <w:r>
              <w:rPr>
                <w:sz w:val="20"/>
                <w:szCs w:val="20"/>
              </w:rPr>
              <w:t>Decoding the Immune Trajectory: A Universal Ambulatory Cytokine Monitoring Platform</w:t>
            </w:r>
          </w:p>
        </w:tc>
      </w:tr>
      <w:tr w:rsidR="005E2537" w14:paraId="5F5775C9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12D10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Submitter Organization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A706B" w14:textId="77777777" w:rsidR="005E2537" w:rsidRDefault="00206CF6">
            <w:r>
              <w:rPr>
                <w:sz w:val="20"/>
                <w:szCs w:val="20"/>
              </w:rPr>
              <w:t>Proactive Dx Inc. (aka, Biomarkr)</w:t>
            </w:r>
          </w:p>
        </w:tc>
      </w:tr>
      <w:tr w:rsidR="005E2537" w14:paraId="18725AE4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E93B6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Type of Organization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571FB" w14:textId="77777777" w:rsidR="005E2537" w:rsidRDefault="00000000">
            <w:r>
              <w:rPr>
                <w:sz w:val="20"/>
                <w:szCs w:val="20"/>
              </w:rPr>
              <w:t>☑ For-Profit  ☐ Non-profit  ☐ Academia</w:t>
            </w:r>
          </w:p>
        </w:tc>
      </w:tr>
      <w:tr w:rsidR="005E2537" w14:paraId="05E4B80A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92D9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Technical Point of Contact (POC)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F8D9D" w14:textId="77777777" w:rsidR="005E2537" w:rsidRDefault="00000000">
            <w:r>
              <w:rPr>
                <w:sz w:val="20"/>
                <w:szCs w:val="20"/>
              </w:rPr>
              <w:t>Reuven Duer, PhD — CSO &amp; Co-Founder</w:t>
            </w:r>
          </w:p>
          <w:p w14:paraId="4DD88066" w14:textId="77777777" w:rsidR="005E2537" w:rsidRDefault="00206CF6">
            <w:r>
              <w:t>192 Odebolt Drive, Thousand Oaks, CA 91360</w:t>
            </w:r>
          </w:p>
          <w:p w14:paraId="05C2A406" w14:textId="77777777" w:rsidR="005E2537" w:rsidRDefault="00000000">
            <w:r>
              <w:rPr>
                <w:sz w:val="20"/>
                <w:szCs w:val="20"/>
              </w:rPr>
              <w:t>Telephone: 805-4054620</w:t>
            </w:r>
          </w:p>
          <w:p w14:paraId="171B1AED" w14:textId="77777777" w:rsidR="005E2537" w:rsidRDefault="00000000">
            <w:r>
              <w:rPr>
                <w:sz w:val="20"/>
                <w:szCs w:val="20"/>
              </w:rPr>
              <w:t>Email: reuven@biomarkr.health</w:t>
            </w:r>
          </w:p>
        </w:tc>
      </w:tr>
      <w:tr w:rsidR="005E2537" w14:paraId="335F42ED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5051E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Administrative POC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20D30" w14:textId="77777777" w:rsidR="005E2537" w:rsidRDefault="00000000">
            <w:r>
              <w:rPr>
                <w:sz w:val="20"/>
                <w:szCs w:val="20"/>
              </w:rPr>
              <w:t>Dylan Brownstein — CEO</w:t>
            </w:r>
          </w:p>
          <w:p w14:paraId="3CD0DA9B" w14:textId="77777777" w:rsidR="005E2537" w:rsidRDefault="00000000">
            <w:r>
              <w:rPr>
                <w:sz w:val="20"/>
                <w:szCs w:val="20"/>
              </w:rPr>
              <w:t>Email: dylan@biomarkr.health</w:t>
            </w:r>
          </w:p>
        </w:tc>
      </w:tr>
      <w:tr w:rsidR="005E2537" w14:paraId="5157D19F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75709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Estimated Project Duration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2E56A" w14:textId="77777777" w:rsidR="005E2537" w:rsidRDefault="00000000">
            <w:r>
              <w:rPr>
                <w:sz w:val="20"/>
                <w:szCs w:val="20"/>
              </w:rPr>
              <w:t>24 Months</w:t>
            </w:r>
          </w:p>
        </w:tc>
      </w:tr>
      <w:tr w:rsidR="005E2537" w14:paraId="26617B51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1B0DB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Total Basis of Estimate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A9136" w14:textId="77777777" w:rsidR="005E2537" w:rsidRDefault="00000000">
            <w:r>
              <w:rPr>
                <w:sz w:val="20"/>
                <w:szCs w:val="20"/>
              </w:rPr>
              <w:t>Total: $4,800,000</w:t>
            </w:r>
          </w:p>
        </w:tc>
      </w:tr>
      <w:tr w:rsidR="005E2537" w14:paraId="6580CCC9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49CD5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Resource Sharing (if applicable)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15905" w14:textId="77777777" w:rsidR="005E2537" w:rsidRDefault="00000000">
            <w:r>
              <w:rPr>
                <w:sz w:val="20"/>
                <w:szCs w:val="20"/>
              </w:rPr>
              <w:t>Gov’t: N/A    Performer: N/A</w:t>
            </w:r>
          </w:p>
        </w:tc>
      </w:tr>
      <w:tr w:rsidR="005E2537" w14:paraId="4DDF893B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D2F29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Place(s) of Performance</w:t>
            </w:r>
          </w:p>
        </w:tc>
        <w:tc>
          <w:tcPr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70033" w14:textId="77777777" w:rsidR="005E2537" w:rsidRDefault="00000000">
            <w:r>
              <w:rPr>
                <w:sz w:val="20"/>
                <w:szCs w:val="20"/>
              </w:rPr>
              <w:t>Thousand Oaks, California, USA</w:t>
            </w:r>
          </w:p>
        </w:tc>
      </w:tr>
    </w:tbl>
    <w:p w14:paraId="13A07B12" w14:textId="77777777" w:rsidR="005E2537" w:rsidRDefault="005E253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537" w14:paraId="63F790D6" w14:textId="77777777">
        <w:trPr>
          <w:tblHeader/>
        </w:trPr>
        <w:tc>
          <w:tcPr>
            <w:tcW w:w="936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E24D4" w14:textId="64005F28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SUB-AWARDEE AND CONSULTANT TEAM MEMBERS</w:t>
            </w:r>
          </w:p>
        </w:tc>
      </w:tr>
      <w:tr w:rsidR="005E2537" w14:paraId="6026C34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C47F2" w14:textId="77777777" w:rsidR="005E2537" w:rsidRDefault="00000000">
            <w:r>
              <w:rPr>
                <w:b/>
                <w:bCs/>
                <w:sz w:val="20"/>
                <w:szCs w:val="20"/>
              </w:rPr>
              <w:t>Organization Name: SMC Ltd. (smcltd.com) — Development &amp; Manufacturing Partner</w:t>
            </w:r>
          </w:p>
          <w:p w14:paraId="59E0DF76" w14:textId="77777777" w:rsidR="005E2537" w:rsidRDefault="00000000">
            <w:r>
              <w:rPr>
                <w:sz w:val="20"/>
                <w:szCs w:val="20"/>
              </w:rPr>
              <w:t>Technical POC Name: TBD    |    Organization Type: For-Profit (ISO 13485-certified CDMO)</w:t>
            </w:r>
          </w:p>
          <w:p w14:paraId="22E995D3" w14:textId="77777777" w:rsidR="005E2537" w:rsidRDefault="00000000">
            <w:pPr>
              <w:spacing w:before="4"/>
            </w:pPr>
            <w:r>
              <w:rPr>
                <w:b/>
                <w:bCs/>
                <w:sz w:val="20"/>
                <w:szCs w:val="20"/>
              </w:rPr>
              <w:t>Organization Name: CRO (TBD upon award) — Clinical Study Operations</w:t>
            </w:r>
          </w:p>
          <w:p w14:paraId="76257EF7" w14:textId="77777777" w:rsidR="005E2537" w:rsidRDefault="00000000">
            <w:r>
              <w:rPr>
                <w:sz w:val="20"/>
                <w:szCs w:val="20"/>
              </w:rPr>
              <w:t>Technical POC Name: TBD    |    Organization Type: For-Profit</w:t>
            </w:r>
          </w:p>
          <w:p w14:paraId="1784B63B" w14:textId="77777777" w:rsidR="005E2537" w:rsidRDefault="005E2537">
            <w:pPr>
              <w:spacing w:before="4"/>
            </w:pPr>
            <w:r>
              <w:rPr>
                <w:b/>
                <w:sz w:val="20"/>
              </w:rPr>
              <w:t>Organization Name: MCRA, an IQVIA business — Regulatory Affairs &amp; Clinical Validation Partner</w:t>
            </w:r>
          </w:p>
          <w:p w14:paraId="594FA982" w14:textId="77777777" w:rsidR="005E2537" w:rsidRDefault="005E2537">
            <w:r>
              <w:rPr>
                <w:sz w:val="20"/>
              </w:rPr>
              <w:t>Technical POC: James Mullally, PhD (VP, IVD Regulatory Affairs); Julie Martel, PhD (VP, IVD Clinical Affairs)    |    Organization Type: For-Profit (IQVIA company)</w:t>
            </w:r>
          </w:p>
        </w:tc>
      </w:tr>
    </w:tbl>
    <w:p w14:paraId="4A1E7FF1" w14:textId="77777777" w:rsidR="005E2537" w:rsidRDefault="005E2537">
      <w:pPr>
        <w:spacing w:after="80"/>
      </w:pPr>
    </w:p>
    <w:p w14:paraId="0F1F11C7" w14:textId="77777777" w:rsidR="005E2537" w:rsidRDefault="005E2537">
      <w:pPr>
        <w:pageBreakBefore/>
      </w:pPr>
    </w:p>
    <w:p w14:paraId="35F9AEE0" w14:textId="77777777" w:rsidR="005E2537" w:rsidRDefault="00000000">
      <w:pPr>
        <w:pStyle w:val="Heading1"/>
        <w:pBdr>
          <w:bottom w:val="single" w:sz="6" w:space="3" w:color="1F3864"/>
        </w:pBdr>
        <w:spacing w:before="140" w:after="70"/>
      </w:pPr>
      <w:r>
        <w:t>Concept Summary</w:t>
      </w:r>
    </w:p>
    <w:p w14:paraId="46B687F7" w14:textId="77777777" w:rsidR="005E2537" w:rsidRDefault="00000000">
      <w:pPr>
        <w:spacing w:after="80"/>
      </w:pPr>
      <w:r>
        <w:t xml:space="preserve">Biomarkr proposes to complete engineering and clinical feasibility validation of </w:t>
      </w:r>
      <w:r>
        <w:rPr>
          <w:b/>
          <w:bCs/>
        </w:rPr>
        <w:t>Q-SENS</w:t>
      </w:r>
      <w:r>
        <w:t>, a palm-sized silicon photonic biosensor that simultaneously quantifies five cytokines (IL-6, TNF-α, IL-1β, IFN-γ, IL-10) from a 10 µL fingerstick whole blood sample in under 10 minutes. The platform delivers single pg/mL sensitivity in whole blood, validated against Luminex, without sample preparation, centrifugation, or laboratory infrastructure. Built on 22 issued US patents, it has been validated at prototype stage through a prior BARDA DRIVe award (“Bringing Laboratory Testing to the Home” AOI).</w:t>
      </w:r>
    </w:p>
    <w:p w14:paraId="638AD83C" w14:textId="77777777" w:rsidR="005E2537" w:rsidRDefault="00000000">
      <w:pPr>
        <w:spacing w:after="80"/>
      </w:pPr>
      <w:r>
        <w:t xml:space="preserve">This proposal directly addresses PHO interest area 1(ii): </w:t>
      </w:r>
      <w:r>
        <w:rPr>
          <w:i/>
          <w:iCs/>
        </w:rPr>
        <w:t>“methods for continuous and widespread sensing of health-state and early disease indicators deployable at population scale.”</w:t>
      </w:r>
      <w:r>
        <w:t xml:space="preserve"> The specific engineering challenge ARPA-H funding enables is transforming Q-SENS into a </w:t>
      </w:r>
      <w:r>
        <w:rPr>
          <w:b/>
          <w:bCs/>
        </w:rPr>
        <w:t>trajectory-aware immune monitoring platform</w:t>
      </w:r>
      <w:r>
        <w:t>, one that establishes personalized, circadian-normalized cytokine baselines per individual and detects immunological deviations days before clinical symptoms manifest.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2537" w14:paraId="0290C559" w14:textId="77777777">
        <w:tc>
          <w:tcPr>
            <w:tcW w:w="9360" w:type="dxa"/>
            <w:tcBorders>
              <w:top w:val="single" w:sz="4" w:space="0" w:color="2F5496"/>
              <w:left w:val="thick" w:sz="16" w:space="0" w:color="2F5496"/>
              <w:bottom w:val="single" w:sz="4" w:space="0" w:color="2F5496"/>
              <w:right w:val="single" w:sz="4" w:space="0" w:color="2F5496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09656E7" w14:textId="77777777" w:rsidR="005E2537" w:rsidRDefault="00000000">
            <w:r>
              <w:rPr>
                <w:i/>
                <w:iCs/>
                <w:color w:val="1F3864"/>
              </w:rPr>
              <w:t>BARDA validated that home-based cytokine testing is feasible. ARPA-H funds the trajectory-intelligence layer: the pre-competitive engineering and clinical feasibility work that private capital cannot efficiently fund at this stage.</w:t>
            </w:r>
          </w:p>
        </w:tc>
      </w:tr>
    </w:tbl>
    <w:p w14:paraId="06EF8A41" w14:textId="77777777" w:rsidR="005E2537" w:rsidRDefault="005E2537">
      <w:pPr>
        <w:spacing w:after="56"/>
      </w:pPr>
    </w:p>
    <w:p w14:paraId="2E978575" w14:textId="77777777" w:rsidR="005E2537" w:rsidRDefault="00000000">
      <w:pPr>
        <w:pStyle w:val="Heading1"/>
        <w:pBdr>
          <w:bottom w:val="single" w:sz="6" w:space="3" w:color="1F3864"/>
        </w:pBdr>
        <w:spacing w:before="140" w:after="70"/>
      </w:pPr>
      <w:r>
        <w:t>Innovation and Impact</w:t>
      </w:r>
    </w:p>
    <w:p w14:paraId="05E79990" w14:textId="77777777" w:rsidR="005E2537" w:rsidRDefault="00000000">
      <w:pPr>
        <w:pStyle w:val="Heading2"/>
        <w:spacing w:before="80" w:after="50"/>
      </w:pPr>
      <w:r>
        <w:t>The Case for Home-Based Immune Monitoring</w:t>
      </w:r>
    </w:p>
    <w:p w14:paraId="20FAD928" w14:textId="77777777" w:rsidR="005E2537" w:rsidRDefault="00000000">
      <w:pPr>
        <w:spacing w:after="70"/>
      </w:pPr>
      <w:r>
        <w:t xml:space="preserve">Chronic inflammatory diseases - RA, IBD, Long COVID, cardiovascular disease - affect 100M+ Americans and cost &gt;$800B/year. They are managed reactively: a flare presents, a treatment is adjusted, damage has already occurred. The root cause is not a lack of effective drugs. </w:t>
      </w:r>
      <w:r>
        <w:rPr>
          <w:b/>
          <w:bCs/>
        </w:rPr>
        <w:t>It is the absence of a tool that can track immune dynamics in the patient’s daily environment.</w:t>
      </w:r>
    </w:p>
    <w:p w14:paraId="52699953" w14:textId="77777777" w:rsidR="005E2537" w:rsidRDefault="00000000">
      <w:pPr>
        <w:spacing w:after="70"/>
      </w:pPr>
      <w:r>
        <w:t xml:space="preserve">Cytokine levels in inflammatory disease fluctuate on timescales of hours to days. A quarterly clinic visit or even a monthly blood draw is structurally unable to capture the immune trajectory that determines whether a biologic is working, whether a flare is building, or whether a patient’s immune system is recovering or deteriorating. The CGM transformed diabetes management not because glucose was a new biomarker, but because </w:t>
      </w:r>
      <w:r>
        <w:rPr>
          <w:b/>
          <w:bCs/>
        </w:rPr>
        <w:t>frequency of measurement transformed a snapshot into actionable trajectory data.</w:t>
      </w:r>
      <w:r>
        <w:t xml:space="preserve"> Q-SENS does the same for the immune system.</w:t>
      </w:r>
    </w:p>
    <w:p w14:paraId="382BF9C7" w14:textId="77777777" w:rsidR="005E2537" w:rsidRDefault="00000000">
      <w:pPr>
        <w:spacing w:after="80"/>
      </w:pPr>
      <w:r>
        <w:rPr>
          <w:b/>
          <w:bCs/>
        </w:rPr>
        <w:t xml:space="preserve">Critical unmet gap: </w:t>
      </w:r>
      <w:r>
        <w:t>No current device achieves multiplexed cytokine quantification at home. Lab-based ELISA requires venipuncture, 24–72 hours, and $200–$800/panel. Luminex (the current gold standard) is lab-bound, operator-dependent, and requires serum separation. Q-SENS is the first platform to close this gap.</w:t>
      </w:r>
    </w:p>
    <w:p w14:paraId="0A1A29C1" w14:textId="77777777" w:rsidR="005E2537" w:rsidRDefault="00000000">
      <w:pPr>
        <w:pStyle w:val="Heading2"/>
        <w:spacing w:before="80" w:after="50"/>
      </w:pPr>
      <w:r>
        <w:t>Platform Technology: Silicon Photonic Biosensor</w:t>
      </w:r>
    </w:p>
    <w:p w14:paraId="28C07827" w14:textId="77777777" w:rsidR="005E2537" w:rsidRDefault="00000000">
      <w:pPr>
        <w:spacing w:after="70"/>
      </w:pPr>
      <w:r>
        <w:t xml:space="preserve">Q-SENS detection is based on </w:t>
      </w:r>
      <w:r>
        <w:rPr>
          <w:b/>
          <w:bCs/>
        </w:rPr>
        <w:t>evanescent wave optical sensing on a silicon photonic chip</w:t>
      </w:r>
      <w:r>
        <w:t xml:space="preserve"> containing 32 sensors per cartridge. Each sensor is functionalized with a cytokine-specific capture antibody. When an analyte binds, a fluorescently labelled secondary antibody binds to it creating a fluorescent sandwich immunoassay, increasing the fluorescent signal. This signal increase is quantified in real time without enzymatic amplification, wash steps, or liquid reagent handling by the user.</w:t>
      </w:r>
    </w:p>
    <w:p w14:paraId="7ACE3BFE" w14:textId="77777777" w:rsidR="005E2537" w:rsidRDefault="00000000">
      <w:pPr>
        <w:spacing w:after="80"/>
      </w:pPr>
      <w:r>
        <w:t xml:space="preserve">The fluorescent sandwich immunoassay format, adapted for evanescent wave excitation, achieves single pg/mL sensitivity in unprocessed whole blood, validated in head-to-head comparison against Luminex bead-based multiplex assay. The 32-sensor chip architecture </w:t>
        <w:lastRenderedPageBreak/>
        <w:t>supports simultaneous measurement of up to 32 biomarkers, with the current 5-cytokine panel occupying 5 sensor clusters (5 analytes × 5 replicate sensors + calibrators). Expanding to additional panels, cardiovascular, oncology, pandemic preparedness, requires cartridge reformulation only, with no hardware redesign of the reader.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E2537" w14:paraId="7CA5618D" w14:textId="77777777">
        <w:trPr>
          <w:tblHeader/>
        </w:trPr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07895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EC8F7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Q-SENS Specification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08798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Lab Standard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EA038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Clinical Significance</w:t>
            </w:r>
          </w:p>
        </w:tc>
      </w:tr>
      <w:tr w:rsidR="005E2537" w14:paraId="521D2766" w14:textId="77777777"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C5CEC" w14:textId="77777777" w:rsidR="005E2537" w:rsidRDefault="00000000">
            <w:r>
              <w:rPr>
                <w:sz w:val="20"/>
                <w:szCs w:val="20"/>
              </w:rPr>
              <w:t>Analytes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5CFEE" w14:textId="77777777" w:rsidR="005E2537" w:rsidRDefault="00000000">
            <w:r>
              <w:rPr>
                <w:sz w:val="20"/>
                <w:szCs w:val="20"/>
              </w:rPr>
              <w:t>5 cytokines simultaneously (IL-6, TNF-α, IL-1β, IFN-γ, IL-10)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6C396" w14:textId="77777777" w:rsidR="005E2537" w:rsidRDefault="00000000">
            <w:r>
              <w:rPr>
                <w:sz w:val="20"/>
                <w:szCs w:val="20"/>
              </w:rPr>
              <w:t>Single analyte per test (ELISA) or 5-plex on Luminex (lab-bound)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A416F" w14:textId="77777777" w:rsidR="005E2537" w:rsidRDefault="00000000">
            <w:r>
              <w:rPr>
                <w:sz w:val="20"/>
                <w:szCs w:val="20"/>
              </w:rPr>
              <w:t>Full cytokine axis coverage in one fingerstick</w:t>
            </w:r>
          </w:p>
        </w:tc>
      </w:tr>
      <w:tr w:rsidR="005E2537" w14:paraId="4138C11D" w14:textId="77777777"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D595C" w14:textId="77777777" w:rsidR="005E2537" w:rsidRDefault="00000000">
            <w:r>
              <w:rPr>
                <w:sz w:val="20"/>
                <w:szCs w:val="20"/>
              </w:rPr>
              <w:t>Sample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9E814" w14:textId="77777777" w:rsidR="005E2537" w:rsidRDefault="00000000">
            <w:r>
              <w:rPr>
                <w:sz w:val="20"/>
                <w:szCs w:val="20"/>
              </w:rPr>
              <w:t>10 µL fingerstick whole blood, no sample prep required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90FF2" w14:textId="77777777" w:rsidR="005E2537" w:rsidRDefault="00000000">
            <w:r>
              <w:rPr>
                <w:sz w:val="20"/>
                <w:szCs w:val="20"/>
              </w:rPr>
              <w:t>2–5 mL venipuncture; centrifuge + dilution required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59818" w14:textId="77777777" w:rsidR="005E2537" w:rsidRDefault="00000000">
            <w:r>
              <w:rPr>
                <w:sz w:val="20"/>
                <w:szCs w:val="20"/>
              </w:rPr>
              <w:t>Enables truly home-based testing</w:t>
            </w:r>
          </w:p>
        </w:tc>
      </w:tr>
      <w:tr w:rsidR="005E2537" w14:paraId="38818A3B" w14:textId="77777777"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53AB2" w14:textId="77777777" w:rsidR="005E2537" w:rsidRDefault="00000000">
            <w:r>
              <w:rPr>
                <w:sz w:val="20"/>
                <w:szCs w:val="20"/>
              </w:rPr>
              <w:t>Sensitivity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98B3E" w14:textId="77777777" w:rsidR="005E2537" w:rsidRDefault="00000000">
            <w:r>
              <w:rPr>
                <w:sz w:val="20"/>
                <w:szCs w:val="20"/>
              </w:rPr>
              <w:t>Single pg/mL in whole blood (validated vs. Luminex); an order of magnitude further improvement is expected in the final optimized design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F956E" w14:textId="77777777" w:rsidR="005E2537" w:rsidRDefault="00000000">
            <w:r>
              <w:rPr>
                <w:sz w:val="20"/>
                <w:szCs w:val="20"/>
              </w:rPr>
              <w:t>1–10 pg/mL (ELISA, serum); ~1 pg/mL (Luminex, serum)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45082" w14:textId="77777777" w:rsidR="005E2537" w:rsidRDefault="00000000">
            <w:r>
              <w:rPr>
                <w:sz w:val="20"/>
                <w:szCs w:val="20"/>
              </w:rPr>
              <w:t>Equivalent sensitivity at POC without lab infrastructure</w:t>
            </w:r>
          </w:p>
        </w:tc>
      </w:tr>
      <w:tr w:rsidR="005E2537" w14:paraId="02AF7AB6" w14:textId="77777777"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0CEC7" w14:textId="77777777" w:rsidR="005E2537" w:rsidRDefault="00000000">
            <w:r>
              <w:rPr>
                <w:sz w:val="20"/>
                <w:szCs w:val="20"/>
              </w:rPr>
              <w:t>Time to result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97DDD" w14:textId="77777777" w:rsidR="005E2537" w:rsidRDefault="00000000">
            <w:r>
              <w:rPr>
                <w:sz w:val="20"/>
                <w:szCs w:val="20"/>
              </w:rPr>
              <w:t>&lt;10 minutes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E4B64" w14:textId="77777777" w:rsidR="005E2537" w:rsidRDefault="00000000">
            <w:r>
              <w:rPr>
                <w:sz w:val="20"/>
                <w:szCs w:val="20"/>
              </w:rPr>
              <w:t>24–72 hours (central lab)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F3FCC" w14:textId="77777777" w:rsidR="005E2537" w:rsidRDefault="00000000">
            <w:r>
              <w:rPr>
                <w:sz w:val="20"/>
                <w:szCs w:val="20"/>
              </w:rPr>
              <w:t>Enables same-visit clinical decision support</w:t>
            </w:r>
          </w:p>
        </w:tc>
      </w:tr>
      <w:tr w:rsidR="005E2537" w14:paraId="6226F522" w14:textId="77777777"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34680" w14:textId="77777777" w:rsidR="005E2537" w:rsidRDefault="00000000">
            <w:r>
              <w:rPr>
                <w:sz w:val="20"/>
                <w:szCs w:val="20"/>
              </w:rPr>
              <w:t>Detection principle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460B1" w14:textId="14824108" w:rsidR="005E2537" w:rsidRDefault="00000000">
            <w:r>
              <w:rPr>
                <w:sz w:val="20"/>
                <w:szCs w:val="20"/>
              </w:rPr>
              <w:t>Evanescent wave excitation and collection of fluorescent signals (32 sensors/chip)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E15A8" w14:textId="77777777" w:rsidR="005E2537" w:rsidRDefault="00000000">
            <w:r>
              <w:rPr>
                <w:sz w:val="20"/>
                <w:szCs w:val="20"/>
              </w:rPr>
              <w:t>Plate ELISA or bead-based Luminex fluorescence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1A014" w14:textId="77777777" w:rsidR="005E2537" w:rsidRDefault="00D26B30">
            <w:r>
              <w:rPr>
                <w:sz w:val="20"/>
                <w:szCs w:val="20"/>
              </w:rPr>
              <w:t>No enzymatic amplification steps, no sample prep., no wash steps</w:t>
            </w:r>
          </w:p>
        </w:tc>
      </w:tr>
      <w:tr w:rsidR="005E2537" w14:paraId="088E8CF7" w14:textId="77777777"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6F957" w14:textId="77777777" w:rsidR="005E2537" w:rsidRDefault="00000000">
            <w:r>
              <w:rPr>
                <w:sz w:val="20"/>
                <w:szCs w:val="20"/>
              </w:rPr>
              <w:t>Platform scalability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825DE" w14:textId="77777777" w:rsidR="005E2537" w:rsidRDefault="00000000">
            <w:r>
              <w:rPr>
                <w:sz w:val="20"/>
                <w:szCs w:val="20"/>
              </w:rPr>
              <w:t>32 sensors per chip; expandable panel without hardware redesign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19662" w14:textId="77777777" w:rsidR="005E2537" w:rsidRDefault="00000000">
            <w:r>
              <w:rPr>
                <w:sz w:val="20"/>
                <w:szCs w:val="20"/>
              </w:rPr>
              <w:t>New instrument required for each additional analyte class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2F42F" w14:textId="77777777" w:rsidR="005E2537" w:rsidRDefault="00000000">
            <w:r>
              <w:rPr>
                <w:sz w:val="20"/>
                <w:szCs w:val="20"/>
              </w:rPr>
              <w:t>Future panels (CVD, oncology, pandemic) on same reader</w:t>
            </w:r>
          </w:p>
        </w:tc>
      </w:tr>
      <w:tr w:rsidR="005E2537" w14:paraId="347AAA96" w14:textId="77777777"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283B2" w14:textId="77777777" w:rsidR="005E2537" w:rsidRDefault="00000000">
            <w:r>
              <w:rPr>
                <w:sz w:val="20"/>
                <w:szCs w:val="20"/>
              </w:rPr>
              <w:t>Cartridge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24B2" w14:textId="77777777" w:rsidR="005E2537" w:rsidRDefault="00000000">
            <w:r>
              <w:rPr>
                <w:sz w:val="20"/>
                <w:szCs w:val="20"/>
              </w:rPr>
              <w:t>Single-use, closed-system fluidics; no wash steps; ambient storage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3A31E" w14:textId="77777777" w:rsidR="005E2537" w:rsidRDefault="00000000">
            <w:r>
              <w:rPr>
                <w:sz w:val="20"/>
                <w:szCs w:val="20"/>
              </w:rPr>
              <w:t>Multiple reagent tubes; cold-chain dependent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5A9A9" w14:textId="77777777" w:rsidR="005E2537" w:rsidRDefault="00000000">
            <w:r>
              <w:rPr>
                <w:sz w:val="20"/>
                <w:szCs w:val="20"/>
              </w:rPr>
              <w:t>Patient-operable; no training required beyond fingerstick</w:t>
            </w:r>
          </w:p>
        </w:tc>
      </w:tr>
    </w:tbl>
    <w:p w14:paraId="60EF0F70" w14:textId="77777777" w:rsidR="005E2537" w:rsidRDefault="005E2537">
      <w:pPr>
        <w:spacing w:after="56"/>
      </w:pPr>
    </w:p>
    <w:p w14:paraId="4E301873" w14:textId="44ACAD12" w:rsidR="005E2537" w:rsidRDefault="005E2537">
      <w:pPr>
        <w:spacing w:before="60" w:after="40"/>
      </w:pPr>
      <w:r>
        <w:t>The three panels in Figure 1 illustrate the core scientific premise of this proposal. Each chart shows a different immune trajectory pattern detectable only through longitudinal Q-SENS monitoring, invisible to single-timepoint testing. Left: cytokine rise 3–5 days before clinical RA flare onset, demonstrating the pre-symptomatic detection window that enables early intervention. Center: the 2–4-fold circadian variation in IL-6 and TNF-α that must be individually characterized and wake-normalized before true immune deviations can be distinguished from circadian noise. Right: the episodic dysregulation pattern of Long COVID, distinguished from recovery by a blunted counter-regulatory IL-10 response.</w:t>
      </w:r>
    </w:p>
    <w:p w14:paraId="2626C8AC" w14:textId="77777777" w:rsidR="005E2537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0158F1D" wp14:editId="46201544">
            <wp:extent cx="5829300" cy="1928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409B" w14:textId="37F2BD3C" w:rsidR="005E2537" w:rsidRDefault="00000000">
      <w:pPr>
        <w:spacing w:before="16" w:after="56"/>
        <w:jc w:val="center"/>
      </w:pPr>
      <w:r>
        <w:rPr>
          <w:i/>
          <w:iCs/>
          <w:color w:val="595959"/>
          <w:sz w:val="17"/>
          <w:szCs w:val="17"/>
        </w:rPr>
        <w:t>Figure 1. Simulated cytokine trajectories (literature-based). Left: RA pre-symptomatic flare, IL-6 &amp; TNF-α rise 3–5 days before symptom onset, enabling early intervention. Center: Individual circadian variation in IL-6 and TNF-α; without wake-normalized personal correction, 40% of apparent deviations are circadian noise. Right: Long COVID episodic immune dysregulation with blunted IL-10. All signatures are trajectory-dependent, not threshold-dependent.</w:t>
      </w:r>
    </w:p>
    <w:p w14:paraId="2EAA1001" w14:textId="31439CD6" w:rsidR="005E2537" w:rsidRDefault="005E2537">
      <w:pPr>
        <w:spacing w:before="60" w:after="80"/>
      </w:pPr>
      <w:r>
        <w:rPr>
          <w:b/>
        </w:rPr>
        <w:t xml:space="preserve">AI/ML as a critical enabler. </w:t>
      </w:r>
      <w:r>
        <w:t xml:space="preserve">The trajectory patterns shown in Figure 1 cannot be detected, interpreted, or acted upon without machine learning. Unlike a single biomarker threshold, where a number above a cutoff triggers a decision, longitudinal cytokine trajectories are inherently high-dimensional: five analytes, measured repeatedly over weeks, each with individual circadian variation, inter-day noise, and disease-specific dynamics. The clinically meaningful signal lives not in any individual reading but in features that require algorithmic extraction: </w:t>
      </w:r>
      <w:r>
        <w:rPr>
          <w:i/>
        </w:rPr>
        <w:t>rate of change</w:t>
      </w:r>
      <w:r>
        <w:t xml:space="preserve"> of each cytokine relative to that individual’s personal baseline, </w:t>
      </w:r>
      <w:r>
        <w:rPr>
          <w:i/>
        </w:rPr>
        <w:t>cytokine ratios</w:t>
      </w:r>
      <w:r>
        <w:t xml:space="preserve"> (e.g., IL-6:IL-10 as a measure of counter-regulatory balance; IFN-γ:TNF-α as a Th1/innate ratio), and the </w:t>
      </w:r>
      <w:r>
        <w:rPr>
          <w:i/>
        </w:rPr>
        <w:t>temporal co-evolution</w:t>
      </w:r>
      <w:r>
        <w:t xml:space="preserve"> of multiple markers as a system signature. No physician, and no single-analyte diagnostic rule, can process this information from snapshot measurements. ML models trained on personalized longitudinal Q-SENS data are the first tool capable of doing so, and this program generates the dataset required to build and validate them.</w:t>
      </w:r>
    </w:p>
    <w:p w14:paraId="00D45726" w14:textId="77777777" w:rsidR="005E2537" w:rsidRDefault="005E2537">
      <w:pPr>
        <w:spacing w:after="56"/>
      </w:pPr>
    </w:p>
    <w:p w14:paraId="6D20024D" w14:textId="77777777" w:rsidR="005E2537" w:rsidRDefault="00000000">
      <w:pPr>
        <w:pStyle w:val="Heading2"/>
        <w:spacing w:before="80" w:after="50"/>
      </w:pPr>
      <w:r>
        <w:t>Competitive Comparison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2240"/>
        <w:gridCol w:w="2240"/>
        <w:gridCol w:w="2240"/>
      </w:tblGrid>
      <w:tr w:rsidR="005E2537" w14:paraId="01327DCB" w14:textId="77777777">
        <w:trPr>
          <w:tblHeader/>
        </w:trPr>
        <w:tc>
          <w:tcPr>
            <w:tcW w:w="26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53857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F2411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State-of-Art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77E6F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Q-SENS Year 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A635A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Q-SENS Year 2 (Goal)</w:t>
            </w:r>
          </w:p>
        </w:tc>
      </w:tr>
      <w:tr w:rsidR="005E2537" w14:paraId="2D176E1B" w14:textId="77777777">
        <w:tc>
          <w:tcPr>
            <w:tcW w:w="26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07F3C" w14:textId="77777777" w:rsidR="005E2537" w:rsidRDefault="00000000">
            <w:r>
              <w:rPr>
                <w:sz w:val="20"/>
                <w:szCs w:val="20"/>
              </w:rPr>
              <w:t>5-plex cytokine POC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DD3E6" w14:textId="77777777" w:rsidR="005E2537" w:rsidRDefault="00000000">
            <w:r>
              <w:rPr>
                <w:sz w:val="20"/>
                <w:szCs w:val="20"/>
              </w:rPr>
              <w:t>Not possible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6FF40" w14:textId="77777777" w:rsidR="005E2537" w:rsidRDefault="00000000">
            <w:r>
              <w:rPr>
                <w:sz w:val="20"/>
                <w:szCs w:val="20"/>
              </w:rPr>
              <w:t>Prototype validated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B1091" w14:textId="77777777" w:rsidR="005E2537" w:rsidRDefault="00000000">
            <w:r>
              <w:rPr>
                <w:sz w:val="20"/>
                <w:szCs w:val="20"/>
              </w:rPr>
              <w:t>RUO commercial; 510(k) filed</w:t>
            </w:r>
          </w:p>
        </w:tc>
      </w:tr>
      <w:tr w:rsidR="005E2537" w14:paraId="40F4D120" w14:textId="77777777">
        <w:tc>
          <w:tcPr>
            <w:tcW w:w="26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7DD11" w14:textId="77777777" w:rsidR="005E2537" w:rsidRDefault="00000000">
            <w:r>
              <w:rPr>
                <w:sz w:val="20"/>
                <w:szCs w:val="20"/>
              </w:rPr>
              <w:t>Sensitivity in whole blood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8DE85" w14:textId="3EC5950E" w:rsidR="005E2537" w:rsidRDefault="00000000">
            <w:r>
              <w:rPr>
                <w:sz w:val="20"/>
                <w:szCs w:val="20"/>
              </w:rPr>
              <w:t>~100–1000 pg/mL (POCT strips)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D6C35" w14:textId="77777777" w:rsidR="005E2537" w:rsidRDefault="00000000">
            <w:r>
              <w:rPr>
                <w:sz w:val="20"/>
                <w:szCs w:val="20"/>
              </w:rPr>
              <w:t>Single pg/mL vs. Luminex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D0990" w14:textId="15A8309F" w:rsidR="005E2537" w:rsidRDefault="00000000">
            <w:r>
              <w:rPr>
                <w:sz w:val="20"/>
                <w:szCs w:val="20"/>
              </w:rPr>
              <w:t>Sub pg/mL, validated</w:t>
            </w:r>
          </w:p>
        </w:tc>
      </w:tr>
      <w:tr w:rsidR="005E2537" w14:paraId="7EC0FEC2" w14:textId="77777777">
        <w:tc>
          <w:tcPr>
            <w:tcW w:w="26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77D1D" w14:textId="77777777" w:rsidR="005E2537" w:rsidRDefault="00000000">
            <w:r>
              <w:rPr>
                <w:sz w:val="20"/>
                <w:szCs w:val="20"/>
              </w:rPr>
              <w:t>Sample prep required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775C3" w14:textId="77777777" w:rsidR="005E2537" w:rsidRDefault="00000000">
            <w:r>
              <w:rPr>
                <w:sz w:val="20"/>
                <w:szCs w:val="20"/>
              </w:rPr>
              <w:t>Yes (centrifuge + dilute)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D8477" w14:textId="77777777" w:rsidR="005E2537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FC624" w14:textId="77777777" w:rsidR="005E2537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5E2537" w14:paraId="1670C09B" w14:textId="77777777">
        <w:tc>
          <w:tcPr>
            <w:tcW w:w="26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A54B5" w14:textId="77777777" w:rsidR="005E2537" w:rsidRDefault="00000000">
            <w:r>
              <w:rPr>
                <w:sz w:val="20"/>
                <w:szCs w:val="20"/>
              </w:rPr>
              <w:t>Circadian normalization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083E3" w14:textId="77777777" w:rsidR="005E2537" w:rsidRDefault="00000000">
            <w:r>
              <w:rPr>
                <w:sz w:val="20"/>
                <w:szCs w:val="20"/>
              </w:rPr>
              <w:t>None in any system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07707" w14:textId="77777777" w:rsidR="005E2537" w:rsidRDefault="00000000">
            <w:r>
              <w:rPr>
                <w:sz w:val="20"/>
                <w:szCs w:val="20"/>
              </w:rPr>
              <w:t>Algorithm developed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32008" w14:textId="77777777" w:rsidR="005E2537" w:rsidRDefault="00000000">
            <w:r>
              <w:rPr>
                <w:sz w:val="20"/>
                <w:szCs w:val="20"/>
              </w:rPr>
              <w:t>Validated (n=30 normals)</w:t>
            </w:r>
          </w:p>
        </w:tc>
      </w:tr>
      <w:tr w:rsidR="005E2537" w14:paraId="19C23BD2" w14:textId="77777777">
        <w:tc>
          <w:tcPr>
            <w:tcW w:w="26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9AAC9" w14:textId="77777777" w:rsidR="005E2537" w:rsidRDefault="00000000">
            <w:r>
              <w:rPr>
                <w:sz w:val="20"/>
                <w:szCs w:val="20"/>
              </w:rPr>
              <w:t>Flare prediction lead time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CEDD" w14:textId="77777777" w:rsidR="005E2537" w:rsidRDefault="00000000">
            <w:r>
              <w:rPr>
                <w:sz w:val="20"/>
                <w:szCs w:val="20"/>
              </w:rPr>
              <w:t>0 (reactive)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1D938" w14:textId="77777777" w:rsidR="005E2537" w:rsidRDefault="00000000">
            <w:r>
              <w:rPr>
                <w:sz w:val="20"/>
                <w:szCs w:val="20"/>
              </w:rPr>
              <w:t>Feasibility model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6E029" w14:textId="77777777" w:rsidR="005E2537" w:rsidRDefault="00000000">
            <w:r>
              <w:rPr>
                <w:sz w:val="20"/>
                <w:szCs w:val="20"/>
              </w:rPr>
              <w:t>AUC ≥0.80, ≥5 days</w:t>
            </w:r>
          </w:p>
        </w:tc>
      </w:tr>
      <w:tr w:rsidR="005E2537" w14:paraId="4981EEA6" w14:textId="77777777">
        <w:tc>
          <w:tcPr>
            <w:tcW w:w="26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DA03C" w14:textId="77777777" w:rsidR="005E2537" w:rsidRDefault="00000000">
            <w:r>
              <w:rPr>
                <w:sz w:val="20"/>
                <w:szCs w:val="20"/>
              </w:rPr>
              <w:t>Cost per 5-plex panel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8F970" w14:textId="77777777" w:rsidR="005E2537" w:rsidRDefault="00000000">
            <w:r>
              <w:rPr>
                <w:sz w:val="20"/>
                <w:szCs w:val="20"/>
              </w:rPr>
              <w:t>$200–$800 (central lab)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5F6C9" w14:textId="77777777" w:rsidR="005E2537" w:rsidRDefault="00000000">
            <w:r>
              <w:rPr>
                <w:sz w:val="20"/>
                <w:szCs w:val="20"/>
              </w:rPr>
              <w:t>~$15 RUO cartridge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9403C" w14:textId="77777777" w:rsidR="005E2537" w:rsidRDefault="00000000">
            <w:r>
              <w:rPr>
                <w:sz w:val="20"/>
                <w:szCs w:val="20"/>
              </w:rPr>
              <w:t>&lt;$15 at scale</w:t>
            </w:r>
          </w:p>
        </w:tc>
      </w:tr>
    </w:tbl>
    <w:p w14:paraId="18AD40A1" w14:textId="77777777" w:rsidR="005E2537" w:rsidRDefault="00000000">
      <w:pPr>
        <w:pStyle w:val="Heading2"/>
        <w:spacing w:before="80" w:after="50"/>
      </w:pPr>
      <w:r>
        <w:t>Primary Use Cases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2537" w14:paraId="5F4000EE" w14:textId="77777777">
        <w:trPr>
          <w:tblHeader/>
        </w:trPr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530A9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8AADE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Unmet Need &amp; Q-SENS Impact</w:t>
            </w:r>
          </w:p>
        </w:tc>
      </w:tr>
      <w:tr w:rsidR="005E2537" w14:paraId="10E8EDD8" w14:textId="77777777"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09516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RA — Biologic Monitoring &amp; Flare Prediction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432AD" w14:textId="4B4298B3" w:rsidR="005E2537" w:rsidRDefault="00000000">
            <w:r>
              <w:rPr>
                <w:sz w:val="20"/>
                <w:szCs w:val="20"/>
              </w:rPr>
              <w:t xml:space="preserve">1.5M US patients on biologics have no objective home monitoring. Q-SENS trajectories detect treatment response within days and </w:t>
              <w:lastRenderedPageBreak/>
              <w:t>predict flares 5–7 days before clinical presentation, enabling dose adjustment before joint damage occurs.</w:t>
            </w:r>
          </w:p>
        </w:tc>
      </w:tr>
      <w:tr w:rsidR="005E2537" w14:paraId="4A7F8755" w14:textId="77777777"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92686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Long COVID / ME-CFS — Objective Phenotyping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7BF37" w14:textId="77777777" w:rsidR="005E2537" w:rsidRDefault="00000000">
            <w:r>
              <w:rPr>
                <w:sz w:val="20"/>
                <w:szCs w:val="20"/>
              </w:rPr>
              <w:t>17M+ Americans with Long COVID have no FDA-cleared objective biomarker. Episodic IFN-γ and IL-6 trajectory patterns provide the first immune fingerprint, enabling trial stratification and treatment response monitoring.</w:t>
            </w:r>
          </w:p>
        </w:tc>
      </w:tr>
      <w:tr w:rsidR="005E2537" w14:paraId="1C7D0391" w14:textId="77777777"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7A65E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IBD — Treatment Response Between Infusions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61980" w14:textId="77777777" w:rsidR="005E2537" w:rsidRDefault="00000000">
            <w:r>
              <w:rPr>
                <w:sz w:val="20"/>
                <w:szCs w:val="20"/>
              </w:rPr>
              <w:t>3M+ IBD patients assessed clinically every 8–12 weeks. Q-SENS detects secondary loss-of-response before clinical relapse, enabling proactive biologic switching rather than reactive dose escalation.</w:t>
            </w:r>
          </w:p>
        </w:tc>
      </w:tr>
      <w:tr w:rsidR="005E2537" w14:paraId="77B4008C" w14:textId="77777777"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E90C5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Pharma / Decentralized Clinical Trials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86CB" w14:textId="77777777" w:rsidR="005E2537" w:rsidRDefault="00000000">
            <w:r>
              <w:rPr>
                <w:sz w:val="20"/>
                <w:szCs w:val="20"/>
              </w:rPr>
              <w:t>Immune-modulating biologic trials measure PD effect at site visits every 4–12 weeks. Q-SENS provides continuous remote pharmacodynamic data between visits, compressing timelines and enabling proof-of-concept at lower N.</w:t>
            </w:r>
          </w:p>
        </w:tc>
      </w:tr>
      <w:tr w:rsidR="005E2537" w14:paraId="76ECA6CD" w14:textId="77777777"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5F3DE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Proactive Immune Surveillance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972F9" w14:textId="77777777" w:rsidR="005E2537" w:rsidRDefault="00000000">
            <w:r>
              <w:rPr>
                <w:sz w:val="20"/>
                <w:szCs w:val="20"/>
              </w:rPr>
              <w:t>Post-surgical, cardiovascular risk, and cancer survivor populations carry chronic low-grade inflammation invisible to standard labs. Longitudinal Q-SENS monitoring detects smoldering activation before organ damage.</w:t>
            </w:r>
          </w:p>
        </w:tc>
      </w:tr>
      <w:tr w:rsidR="005E2537" w14:paraId="75EFC31C" w14:textId="77777777"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7F956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Academic &amp; Translational Research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5439D" w14:textId="77777777" w:rsidR="005E2537" w:rsidRDefault="00000000">
            <w:r>
              <w:rPr>
                <w:sz w:val="20"/>
                <w:szCs w:val="20"/>
              </w:rPr>
              <w:t>Exercise, nutrition, aging, sleep, and vaccine response researchers rely on ELISA (72-hour, single-plex). Q-SENS enables frequent, standardized, ambulatory 5-plex cytokine collection at scale.</w:t>
            </w:r>
          </w:p>
        </w:tc>
      </w:tr>
    </w:tbl>
    <w:p w14:paraId="0A1D0AA7" w14:textId="77777777" w:rsidR="005E2537" w:rsidRDefault="005E2537">
      <w:pPr>
        <w:spacing w:after="56"/>
      </w:pPr>
    </w:p>
    <w:p w14:paraId="172E575A" w14:textId="77777777" w:rsidR="005E2537" w:rsidRDefault="00000000">
      <w:pPr>
        <w:pStyle w:val="Heading1"/>
        <w:pBdr>
          <w:bottom w:val="single" w:sz="6" w:space="3" w:color="1F3864"/>
        </w:pBdr>
        <w:spacing w:before="140" w:after="70"/>
      </w:pPr>
      <w:r>
        <w:t>Proposed Work</w:t>
      </w:r>
    </w:p>
    <w:p w14:paraId="67D9D163" w14:textId="77777777" w:rsidR="005E2537" w:rsidRDefault="00000000">
      <w:pPr>
        <w:spacing w:after="70"/>
      </w:pPr>
      <w:r>
        <w:rPr>
          <w:b/>
          <w:bCs/>
        </w:rPr>
        <w:t xml:space="preserve">Final deliverable: </w:t>
      </w:r>
      <w:r>
        <w:t>A clinically validated, trajectory-aware Q-SENS platform with: (1) circadian-aware firmware and personalized baseline algorithm; (2) normative circadian cytokine profiles from 30 healthy volunteers; (3) published feasibility evidence of pre-symptomatic flare prediction in 60 patients (30 RA + 30 Long COVID).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00"/>
        <w:gridCol w:w="2860"/>
        <w:gridCol w:w="2200"/>
      </w:tblGrid>
      <w:tr w:rsidR="005E2537" w14:paraId="30410DFA" w14:textId="77777777">
        <w:trPr>
          <w:tblHeader/>
        </w:trPr>
        <w:tc>
          <w:tcPr>
            <w:tcW w:w="11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2BDEC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CE358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A944B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7B53F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Go/No-Go Metric</w:t>
            </w:r>
          </w:p>
        </w:tc>
      </w:tr>
      <w:tr w:rsidR="005E2537" w14:paraId="7C983F64" w14:textId="77777777">
        <w:tc>
          <w:tcPr>
            <w:tcW w:w="11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1EC5D" w14:textId="77777777" w:rsidR="005E2537" w:rsidRDefault="00000000">
            <w:r>
              <w:rPr>
                <w:sz w:val="20"/>
                <w:szCs w:val="20"/>
              </w:rPr>
              <w:t>M0–M6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57CA3" w14:textId="77777777" w:rsidR="005E2537" w:rsidRDefault="00000000">
            <w:r>
              <w:rPr>
                <w:sz w:val="20"/>
                <w:szCs w:val="20"/>
              </w:rPr>
              <w:t>Platform engineering: circadian-aware firmware, personalized baseline algorithm with phase-correction, cartridge precision optimization.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B2C50" w14:textId="77777777" w:rsidR="005E2537" w:rsidRDefault="00000000">
            <w:r>
              <w:rPr>
                <w:sz w:val="20"/>
                <w:szCs w:val="20"/>
              </w:rPr>
              <w:t>Algorithm documentation; bench validation report.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FF49F" w14:textId="77777777" w:rsidR="005E2537" w:rsidRDefault="00000000">
            <w:r>
              <w:rPr>
                <w:sz w:val="20"/>
                <w:szCs w:val="20"/>
              </w:rPr>
              <w:t>CV &lt;8% all 5 cytokines at clinical concentrations.</w:t>
            </w:r>
          </w:p>
        </w:tc>
      </w:tr>
      <w:tr w:rsidR="005E2537" w14:paraId="5B79D067" w14:textId="77777777">
        <w:tc>
          <w:tcPr>
            <w:tcW w:w="11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4D20A" w14:textId="77777777" w:rsidR="005E2537" w:rsidRDefault="00000000">
            <w:r>
              <w:rPr>
                <w:sz w:val="20"/>
                <w:szCs w:val="20"/>
              </w:rPr>
              <w:t>M6–M12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CD6E" w14:textId="77777777" w:rsidR="005E2537" w:rsidRDefault="00000000">
            <w:r>
              <w:rPr>
                <w:sz w:val="20"/>
                <w:szCs w:val="20"/>
              </w:rPr>
              <w:t>Circadian characterization (n=30 healthy volunteers): 14-day 6x/day wake-normalized protocol; validate phase-correction vs. Luminex &amp; ELISA.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7E249" w14:textId="77777777" w:rsidR="005E2537" w:rsidRDefault="00000000">
            <w:r>
              <w:rPr>
                <w:sz w:val="20"/>
                <w:szCs w:val="20"/>
              </w:rPr>
              <w:t>Individual circadian profiles; phase-correction validation dataset.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0BE85" w14:textId="77777777" w:rsidR="005E2537" w:rsidRDefault="00000000">
            <w:r>
              <w:rPr>
                <w:sz w:val="20"/>
                <w:szCs w:val="20"/>
              </w:rPr>
              <w:t>Pearson r &gt;0.90 vs. reference assay.</w:t>
            </w:r>
          </w:p>
        </w:tc>
      </w:tr>
      <w:tr w:rsidR="005E2537" w14:paraId="31F77145" w14:textId="77777777">
        <w:tc>
          <w:tcPr>
            <w:tcW w:w="11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CE252" w14:textId="77777777" w:rsidR="005E2537" w:rsidRDefault="00000000">
            <w:r>
              <w:rPr>
                <w:sz w:val="20"/>
                <w:szCs w:val="20"/>
              </w:rPr>
              <w:t>M12–M20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35B01" w14:textId="77777777" w:rsidR="005E2537" w:rsidRDefault="00000000">
            <w:r>
              <w:rPr>
                <w:sz w:val="20"/>
                <w:szCs w:val="20"/>
              </w:rPr>
              <w:t>Feasibility cohort (n=60: RA 30 + Long COVID 30): 6-month 2x/week home monitoring + monthly nurse visit; capture ≥3 confirmed flares/arm; train trajectory deviation model.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6E889" w14:textId="77777777" w:rsidR="005E2537" w:rsidRDefault="00000000">
            <w:r>
              <w:rPr>
                <w:sz w:val="20"/>
                <w:szCs w:val="20"/>
              </w:rPr>
              <w:t>Longitudinal dataset; ML model; primary endpoint analysis.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3D24C" w14:textId="77777777" w:rsidR="005E2537" w:rsidRDefault="00000000">
            <w:r>
              <w:rPr>
                <w:sz w:val="20"/>
                <w:szCs w:val="20"/>
              </w:rPr>
              <w:t>AUC ≥0.80 for flare detection ≥5 days pre-onset.</w:t>
            </w:r>
          </w:p>
        </w:tc>
      </w:tr>
      <w:tr w:rsidR="005E2537" w14:paraId="622FDC0D" w14:textId="77777777">
        <w:tc>
          <w:tcPr>
            <w:tcW w:w="11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13EBA" w14:textId="77777777" w:rsidR="005E2537" w:rsidRDefault="00000000">
            <w:r>
              <w:rPr>
                <w:sz w:val="20"/>
                <w:szCs w:val="20"/>
              </w:rPr>
              <w:lastRenderedPageBreak/>
              <w:t>M20–M24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05D88" w14:textId="77777777" w:rsidR="005E2537" w:rsidRDefault="00000000">
            <w:r>
              <w:rPr>
                <w:sz w:val="20"/>
                <w:szCs w:val="20"/>
              </w:rPr>
              <w:t>Analysis, publications, scale-up readiness; dataset prepared for large-scale government-funded trial grant.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0FCE6" w14:textId="77777777" w:rsidR="005E2537" w:rsidRDefault="00000000">
            <w:r>
              <w:rPr>
                <w:sz w:val="20"/>
                <w:szCs w:val="20"/>
              </w:rPr>
              <w:t>2 manuscripts submitted; curated longitudinal dataset.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3033B" w14:textId="77777777" w:rsidR="005E2537" w:rsidRDefault="00000000">
            <w:r>
              <w:rPr>
                <w:sz w:val="20"/>
                <w:szCs w:val="20"/>
              </w:rPr>
              <w:t>2 peer-reviewed manuscripts submitted.</w:t>
            </w:r>
          </w:p>
        </w:tc>
      </w:tr>
    </w:tbl>
    <w:p w14:paraId="6119D4F5" w14:textId="77777777" w:rsidR="005E2537" w:rsidRDefault="005E2537">
      <w:pPr>
        <w:spacing w:after="56"/>
      </w:pPr>
    </w:p>
    <w:p w14:paraId="370BACF9" w14:textId="77777777" w:rsidR="005E2537" w:rsidRDefault="00000000">
      <w:pPr>
        <w:pStyle w:val="Heading2"/>
        <w:spacing w:before="80" w:after="50"/>
      </w:pPr>
      <w:r>
        <w:t>Technical Risks &amp; Mitigations</w:t>
      </w:r>
    </w:p>
    <w:p w14:paraId="55F78A7F" w14:textId="17245768" w:rsidR="005E2537" w:rsidRDefault="00000000">
      <w:pPr>
        <w:pStyle w:val="ListParagraph"/>
        <w:numPr>
          <w:ilvl w:val="0"/>
          <w:numId w:val="2"/>
        </w:numPr>
        <w:spacing w:after="56"/>
      </w:pPr>
      <w:r>
        <w:rPr>
          <w:b/>
          <w:bCs/>
        </w:rPr>
        <w:t xml:space="preserve">Risk 1: </w:t>
      </w:r>
      <w:r>
        <w:t>Cartridge precision at low cytokine concentrations - on-chip calibration spots and lot-specific firmware curves.</w:t>
      </w:r>
    </w:p>
    <w:p w14:paraId="14891344" w14:textId="62A52A2D" w:rsidR="005E2537" w:rsidRDefault="00000000">
      <w:pPr>
        <w:pStyle w:val="ListParagraph"/>
        <w:numPr>
          <w:ilvl w:val="0"/>
          <w:numId w:val="2"/>
        </w:numPr>
        <w:spacing w:after="56"/>
      </w:pPr>
      <w:r>
        <w:rPr>
          <w:b/>
          <w:bCs/>
        </w:rPr>
        <w:t xml:space="preserve">Risk 2: </w:t>
      </w:r>
      <w:r>
        <w:t>Participant adherence to 6x/day circadian protocol - video supervision and completion-linked incentive payments.</w:t>
      </w:r>
    </w:p>
    <w:p w14:paraId="69B4C51C" w14:textId="204A5D2D" w:rsidR="005E2537" w:rsidRDefault="00000000">
      <w:pPr>
        <w:pStyle w:val="ListParagraph"/>
        <w:numPr>
          <w:ilvl w:val="0"/>
          <w:numId w:val="2"/>
        </w:numPr>
        <w:spacing w:after="56"/>
      </w:pPr>
      <w:r>
        <w:rPr>
          <w:b/>
          <w:bCs/>
        </w:rPr>
        <w:t xml:space="preserve">Risk 3: </w:t>
      </w:r>
      <w:r>
        <w:t>Flare capture within 6-month window - enroll only patients with ≥2 confirmed flares/year; interim analysis at Month 4.</w:t>
      </w:r>
    </w:p>
    <w:p w14:paraId="56FA9FDB" w14:textId="2F46893F" w:rsidR="005E2537" w:rsidRDefault="00000000">
      <w:pPr>
        <w:pStyle w:val="ListParagraph"/>
        <w:numPr>
          <w:ilvl w:val="0"/>
          <w:numId w:val="2"/>
        </w:numPr>
        <w:spacing w:after="56"/>
      </w:pPr>
      <w:r>
        <w:rPr>
          <w:b/>
          <w:bCs/>
        </w:rPr>
        <w:t xml:space="preserve">Risk 4: </w:t>
      </w:r>
      <w:r>
        <w:t>RUO data firewall - results not returned to participants for clinical use; IRB consent process addresses this explicitly.</w:t>
      </w:r>
    </w:p>
    <w:p w14:paraId="67D388D8" w14:textId="77777777" w:rsidR="005E2537" w:rsidRDefault="005E2537">
      <w:pPr>
        <w:spacing w:after="56"/>
      </w:pPr>
    </w:p>
    <w:p w14:paraId="3935C313" w14:textId="77777777" w:rsidR="005E2537" w:rsidRDefault="00000000">
      <w:pPr>
        <w:pStyle w:val="Heading1"/>
        <w:pBdr>
          <w:bottom w:val="single" w:sz="6" w:space="3" w:color="1F3864"/>
        </w:pBdr>
        <w:spacing w:before="140" w:after="70"/>
      </w:pPr>
      <w:r>
        <w:t>Team Organization and Capabilities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7346"/>
      </w:tblGrid>
      <w:tr w:rsidR="005E2537" w14:paraId="28E5733A" w14:textId="77777777" w:rsidTr="00A75FF1">
        <w:trPr>
          <w:tblHeader/>
        </w:trPr>
        <w:tc>
          <w:tcPr>
            <w:tcW w:w="2031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98C5D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Name / Role</w:t>
            </w:r>
          </w:p>
        </w:tc>
        <w:tc>
          <w:tcPr>
            <w:tcW w:w="7329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AAB2B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Background &amp; Relevance</w:t>
            </w:r>
          </w:p>
        </w:tc>
      </w:tr>
      <w:tr w:rsidR="005E2537" w14:paraId="26F727A1" w14:textId="77777777" w:rsidTr="00A75FF1">
        <w:tc>
          <w:tcPr>
            <w:tcW w:w="2031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25369" w14:textId="77777777" w:rsidR="005E2537" w:rsidRDefault="00000000">
            <w:r>
              <w:rPr>
                <w:sz w:val="20"/>
                <w:szCs w:val="20"/>
              </w:rPr>
              <w:t>Reuven Duer, PhD CSO &amp; Co-Founder (PI)</w:t>
            </w:r>
          </w:p>
        </w:tc>
        <w:tc>
          <w:tcPr>
            <w:tcW w:w="7329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6A6BA" w14:textId="77777777" w:rsidR="005E2537" w:rsidRDefault="00000000">
            <w:r>
              <w:rPr>
                <w:sz w:val="20"/>
                <w:szCs w:val="20"/>
              </w:rPr>
              <w:t>Inventor of Q-SENS. 22 issued US patents covering silicon photonic immunoassay: evanescent wave fluorescence immunoassay (“ELISA on a chip”), fluidic cartridge, and multiplexed biosensing. Led R&amp;D from concept through BARDA-validated prototype. Leads platform engineering (M0–M12) and data quality oversight.</w:t>
            </w:r>
          </w:p>
        </w:tc>
      </w:tr>
      <w:tr w:rsidR="005E2537" w14:paraId="16CA89BC" w14:textId="77777777" w:rsidTr="00A75FF1">
        <w:tc>
          <w:tcPr>
            <w:tcW w:w="2031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82147" w14:textId="77777777" w:rsidR="005E2537" w:rsidRDefault="00000000">
            <w:r>
              <w:rPr>
                <w:sz w:val="20"/>
                <w:szCs w:val="20"/>
              </w:rPr>
              <w:t>Dylan Brownstein CEO</w:t>
            </w:r>
          </w:p>
        </w:tc>
        <w:tc>
          <w:tcPr>
            <w:tcW w:w="7329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1A02C" w14:textId="2B10CF14" w:rsidR="005E2537" w:rsidRDefault="00000000">
            <w:r>
              <w:rPr>
                <w:sz w:val="20"/>
                <w:szCs w:val="20"/>
              </w:rPr>
              <w:t>Responsible for program management, budget oversight, milestone reporting, and ARPA-H relationship.</w:t>
            </w:r>
          </w:p>
        </w:tc>
      </w:tr>
      <w:tr w:rsidR="005E2537" w14:paraId="3AC616E6" w14:textId="77777777" w:rsidTr="00A75FF1">
        <w:tc>
          <w:tcPr>
            <w:tcW w:w="2031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2AB4A" w14:textId="77777777" w:rsidR="005E2537" w:rsidRDefault="00000000">
            <w:r>
              <w:rPr>
                <w:sz w:val="20"/>
                <w:szCs w:val="20"/>
              </w:rPr>
              <w:t>Aren Giske, MD, MOH, FACOEM COO &amp; Co-Founder</w:t>
            </w:r>
          </w:p>
        </w:tc>
        <w:tc>
          <w:tcPr>
            <w:tcW w:w="7329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2265A" w14:textId="0744AD5E" w:rsidR="005E2537" w:rsidRDefault="00000000">
            <w:r>
              <w:rPr>
                <w:sz w:val="20"/>
                <w:szCs w:val="20"/>
              </w:rPr>
              <w:t>Leads IRB submission, human subjects compliance, and clinical protocol for the feasibility cohort.</w:t>
            </w:r>
          </w:p>
        </w:tc>
      </w:tr>
      <w:tr w:rsidR="005E2537" w14:paraId="7940F55F" w14:textId="77777777" w:rsidTr="00A75FF1">
        <w:tc>
          <w:tcPr>
            <w:tcW w:w="2031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944FA" w14:textId="77777777" w:rsidR="005E2537" w:rsidRDefault="00000000">
            <w:r>
              <w:rPr>
                <w:sz w:val="20"/>
                <w:szCs w:val="20"/>
              </w:rPr>
              <w:t>SMC Ltd. (smcltd.com) Development &amp; Manufacturing Partner</w:t>
            </w:r>
          </w:p>
        </w:tc>
        <w:tc>
          <w:tcPr>
            <w:tcW w:w="7329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81957" w14:textId="77777777" w:rsidR="005E2537" w:rsidRDefault="00000000">
            <w:r>
              <w:rPr>
                <w:sz w:val="20"/>
                <w:szCs w:val="20"/>
              </w:rPr>
              <w:t>ISO 13485-certified, FDA-registered CDMO specializing exclusively in medical diagnostics and POC devices. In-house specialists in microfluidic cartridge design and disposable POC consumables. Prior experience bringing POC cartridges from prototype to commercial readiness, including a sepsis pathogen detection POC device. 11 global facilities (US, UK, India, Costa Rica). Provides cartridge development, scale-up manufacturing, supply chain management, and regulatory documentation support for Q-SENS.</w:t>
            </w:r>
          </w:p>
        </w:tc>
      </w:tr>
      <w:tr w:rsidR="006B0204" w14:paraId="1818ED88" w14:textId="77777777">
        <w:tc>
          <w:tcPr>
            <w:tcW w:w="0" w:type="auto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vAlign w:val="center"/>
          </w:tcPr>
          <w:p w14:paraId="4C122463" w14:textId="77777777" w:rsidR="006B0204" w:rsidRDefault="00000000">
            <w:r>
              <w:rPr>
                <w:b/>
                <w:sz w:val="20"/>
              </w:rPr>
              <w:t>MCRA, an IQVIA business</w:t>
            </w:r>
          </w:p>
          <w:p w14:paraId="6F0AD2F0" w14:textId="77777777" w:rsidR="006B0204" w:rsidRDefault="00000000">
            <w:r>
              <w:rPr>
                <w:sz w:val="20"/>
              </w:rPr>
              <w:t>Regulatory Affairs &amp; Clinical Validation Partner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vAlign w:val="center"/>
          </w:tcPr>
          <w:p w14:paraId="0D4B2D63" w14:textId="77777777" w:rsidR="006B0204" w:rsidRDefault="00000000">
            <w:r>
              <w:rPr>
                <w:sz w:val="20"/>
              </w:rPr>
              <w:t>Global CRO + Advisory Firm (an IQVIA business). Engaged for FDA regulatory strategy and submissions (510(k) hsCRP; De Novo 5-cytokine CIP) and clinical validation study execution (Q-SENS CRP IVD Study). Team includes Dr. James Mullally, PhD (former FDA Assistant Director, Division of Chemistry and Toxicology Devices; VP IVD Regulatory Affairs) and Dr. Julie Martel, PhD (former Global Head of Clinical Operations, Ascensia Diabetes/CGM; VP IVD Clinical Affairs). 25+ former FDA officials; 100% PMA approval rate; 78 IVD studies managed in 7 years. Active proposals in hand: MCRA regulatory proposal (Ref. 20026538) and IQVIA MedTech clinical proposal (Ref. SAB95096).</w:t>
            </w:r>
          </w:p>
        </w:tc>
      </w:tr>
    </w:tbl>
    <w:p w14:paraId="1FAD86F2" w14:textId="3850E141" w:rsidR="00A75FF1" w:rsidRDefault="00A75FF1" w:rsidP="00A75FF1">
      <w:r>
        <w:br w:type="page"/>
      </w:r>
    </w:p>
    <w:p w14:paraId="38879CDA" w14:textId="77777777" w:rsidR="00A75FF1" w:rsidRDefault="00A75FF1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E2537" w14:paraId="16D34DD2" w14:textId="77777777">
        <w:tc>
          <w:tcPr>
            <w:tcW w:w="26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D4796" w14:textId="6DE42EFD" w:rsidR="005E2537" w:rsidRDefault="00000000">
            <w:r>
              <w:rPr>
                <w:sz w:val="20"/>
                <w:szCs w:val="20"/>
              </w:rPr>
              <w:t>Clinical Study Director (hire Month 1) MD/PhD — Rheumatology or Immunology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FFC6B" w14:textId="77777777" w:rsidR="005E2537" w:rsidRDefault="00000000">
            <w:r>
              <w:rPr>
                <w:sz w:val="20"/>
                <w:szCs w:val="20"/>
              </w:rPr>
              <w:t>Clinical protocol oversight, site relationships, and medical monitoring for the 60-patient feasibility cohort. Target: academic medical center with established RA and Long COVID programs.</w:t>
            </w:r>
          </w:p>
        </w:tc>
      </w:tr>
      <w:tr w:rsidR="005E2537" w14:paraId="16F10C25" w14:textId="77777777">
        <w:tc>
          <w:tcPr>
            <w:tcW w:w="260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D2690" w14:textId="77777777" w:rsidR="005E2537" w:rsidRDefault="00000000">
            <w:r>
              <w:rPr>
                <w:sz w:val="20"/>
                <w:szCs w:val="20"/>
              </w:rPr>
              <w:t>Biostatistician (hire Month 3) 0.5 FTE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D41C5" w14:textId="77777777" w:rsidR="005E2537" w:rsidRDefault="00000000">
            <w:r>
              <w:rPr>
                <w:sz w:val="20"/>
                <w:szCs w:val="20"/>
              </w:rPr>
              <w:t>Longitudinal biomarker study design, repeated-measures models, and ML classifier validation. Pre-specified Statistical Analysis Plan and primary endpoint analysis (flare prediction AUC).</w:t>
            </w:r>
          </w:p>
        </w:tc>
      </w:tr>
    </w:tbl>
    <w:p w14:paraId="386B984C" w14:textId="77777777" w:rsidR="005E2537" w:rsidRDefault="005E2537">
      <w:pPr>
        <w:spacing w:after="56"/>
      </w:pPr>
    </w:p>
    <w:p w14:paraId="12BE5F93" w14:textId="77777777" w:rsidR="005E2537" w:rsidRDefault="00000000">
      <w:pPr>
        <w:pStyle w:val="Heading1"/>
        <w:pBdr>
          <w:bottom w:val="single" w:sz="6" w:space="3" w:color="1F3864"/>
        </w:pBdr>
        <w:spacing w:before="140" w:after="70"/>
      </w:pPr>
      <w:r>
        <w:t>Basis of Estimate (BOE)</w:t>
      </w:r>
    </w:p>
    <w:p w14:paraId="2C653437" w14:textId="77777777" w:rsidR="005E2537" w:rsidRDefault="00000000">
      <w:pPr>
        <w:spacing w:after="56"/>
      </w:pPr>
      <w:r>
        <w:t>Milestone-gated: $1.8M at contract execution; $1.5M at M6 go/no-go; $1.5M at M12 go/no-go.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2160"/>
        <w:gridCol w:w="2160"/>
      </w:tblGrid>
      <w:tr w:rsidR="005E2537" w14:paraId="0874D3DE" w14:textId="77777777">
        <w:trPr>
          <w:tblHeader/>
        </w:trPr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0E318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Cost Element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4E3A3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DCED7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5E2537" w14:paraId="47F69261" w14:textId="77777777"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0A340" w14:textId="77777777" w:rsidR="005E2537" w:rsidRDefault="00000000">
            <w:r>
              <w:rPr>
                <w:sz w:val="20"/>
                <w:szCs w:val="20"/>
              </w:rPr>
              <w:t>Personnel (PI, CEO liaison, Clinical Study Director 1.0 FTE, Biostatistician 0.5 FTE, Research Associate 1.0 FTE)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37930" w14:textId="77777777" w:rsidR="005E2537" w:rsidRDefault="00000000">
            <w:r>
              <w:rPr>
                <w:sz w:val="20"/>
                <w:szCs w:val="20"/>
              </w:rPr>
              <w:t>$1,140,000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CDCFC" w14:textId="77777777" w:rsidR="005E2537" w:rsidRDefault="00000000">
            <w:r>
              <w:rPr>
                <w:sz w:val="20"/>
                <w:szCs w:val="20"/>
              </w:rPr>
              <w:t>Burdened labor rates; 3.0 FTE equivalent over 24 months</w:t>
            </w:r>
          </w:p>
        </w:tc>
      </w:tr>
      <w:tr w:rsidR="005E2537" w14:paraId="532641CD" w14:textId="77777777"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A5D1E" w14:textId="77777777" w:rsidR="005E2537" w:rsidRDefault="00000000">
            <w:r>
              <w:rPr>
                <w:sz w:val="20"/>
                <w:szCs w:val="20"/>
              </w:rPr>
              <w:t>Platform Engineering incl. SMC Ltd. cartridge development (firmware, algorithm, cartridge R&amp;D, bench validation)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3257B" w14:textId="77777777" w:rsidR="005E2537" w:rsidRDefault="00000000">
            <w:r>
              <w:rPr>
                <w:sz w:val="20"/>
                <w:szCs w:val="20"/>
              </w:rPr>
              <w:t>$920,000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1DADE" w14:textId="77777777" w:rsidR="005E2537" w:rsidRDefault="00000000">
            <w:r>
              <w:rPr>
                <w:sz w:val="20"/>
                <w:szCs w:val="20"/>
              </w:rPr>
              <w:t>SMC CDMO quote-basis; prior BARDA engineering milestones</w:t>
            </w:r>
          </w:p>
        </w:tc>
      </w:tr>
      <w:tr w:rsidR="005E2537" w14:paraId="5FFC4B5F" w14:textId="77777777"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7366D" w14:textId="77777777" w:rsidR="005E2537" w:rsidRDefault="00000000">
            <w:r>
              <w:rPr>
                <w:sz w:val="20"/>
                <w:szCs w:val="20"/>
              </w:rPr>
              <w:t>Clinical Study Operations (CRO, IRB, coordination, 90 participants)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FF572" w14:textId="77777777" w:rsidR="005E2537" w:rsidRDefault="00000000">
            <w:r>
              <w:rPr>
                <w:sz w:val="20"/>
                <w:szCs w:val="20"/>
              </w:rPr>
              <w:t>$980,000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80E61" w14:textId="77777777" w:rsidR="005E2537" w:rsidRDefault="00000000">
            <w:r>
              <w:rPr>
                <w:sz w:val="20"/>
                <w:szCs w:val="20"/>
              </w:rPr>
              <w:t>Comparable 90-participant POC device feasibility studies</w:t>
            </w:r>
          </w:p>
        </w:tc>
      </w:tr>
      <w:tr w:rsidR="005E2537" w14:paraId="536BE4CF" w14:textId="77777777"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454D3" w14:textId="77777777" w:rsidR="005E2537" w:rsidRDefault="00000000">
            <w:r>
              <w:rPr>
                <w:sz w:val="20"/>
                <w:szCs w:val="20"/>
              </w:rPr>
              <w:t>Cartridges &amp; Consumables (~18,000 tests via SMC manufacturing)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71047" w14:textId="77777777" w:rsidR="005E2537" w:rsidRDefault="00000000">
            <w:r>
              <w:rPr>
                <w:sz w:val="20"/>
                <w:szCs w:val="20"/>
              </w:rPr>
              <w:t>$720,000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81D61" w14:textId="77777777" w:rsidR="005E2537" w:rsidRDefault="00000000">
            <w:r>
              <w:rPr>
                <w:sz w:val="20"/>
                <w:szCs w:val="20"/>
              </w:rPr>
              <w:t>Pre-commercial RUO manufacturing cost at SMC</w:t>
            </w:r>
          </w:p>
        </w:tc>
      </w:tr>
      <w:tr w:rsidR="005E2537" w14:paraId="10FA7C3D" w14:textId="77777777"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5B97B" w14:textId="77777777" w:rsidR="005E2537" w:rsidRDefault="00000000">
            <w:r>
              <w:rPr>
                <w:sz w:val="20"/>
                <w:szCs w:val="20"/>
              </w:rPr>
              <w:t>Laboratory Validation (Luminex/ELISA reference testing, data management, biostatistics)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98D2F" w14:textId="77777777" w:rsidR="005E2537" w:rsidRDefault="00000000">
            <w:r>
              <w:rPr>
                <w:sz w:val="20"/>
                <w:szCs w:val="20"/>
              </w:rPr>
              <w:t>$480,000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A1453" w14:textId="77777777" w:rsidR="005E2537" w:rsidRDefault="00000000">
            <w:r>
              <w:rPr>
                <w:sz w:val="20"/>
                <w:szCs w:val="20"/>
              </w:rPr>
              <w:t>Reference lab fee schedules + software</w:t>
            </w:r>
          </w:p>
        </w:tc>
      </w:tr>
      <w:tr w:rsidR="005E2537" w14:paraId="37DC0AB0" w14:textId="77777777"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CD998" w14:textId="77777777" w:rsidR="005E2537" w:rsidRDefault="00000000">
            <w:r>
              <w:rPr>
                <w:sz w:val="20"/>
                <w:szCs w:val="20"/>
              </w:rPr>
              <w:t>Participant Incentives (90 participants × ~$600)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48737" w14:textId="77777777" w:rsidR="005E2537" w:rsidRDefault="00000000">
            <w:r>
              <w:rPr>
                <w:sz w:val="20"/>
                <w:szCs w:val="20"/>
              </w:rPr>
              <w:t>$54,000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43181" w14:textId="77777777" w:rsidR="005E2537" w:rsidRDefault="00000000">
            <w:r>
              <w:rPr>
                <w:sz w:val="20"/>
                <w:szCs w:val="20"/>
              </w:rPr>
              <w:t>IRB-standard compensation for comparable monitoring burden</w:t>
            </w:r>
          </w:p>
        </w:tc>
      </w:tr>
      <w:tr w:rsidR="005E2537" w14:paraId="1B5A7A74" w14:textId="77777777"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2E033" w14:textId="77777777" w:rsidR="005E2537" w:rsidRDefault="00000000">
            <w:r>
              <w:rPr>
                <w:sz w:val="20"/>
                <w:szCs w:val="20"/>
              </w:rPr>
              <w:t>Indirect Costs / Overhead (15%)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FCB56" w14:textId="77777777" w:rsidR="005E2537" w:rsidRDefault="00000000">
            <w:r>
              <w:rPr>
                <w:sz w:val="20"/>
                <w:szCs w:val="20"/>
              </w:rPr>
              <w:t>$506,000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86EAB" w14:textId="77777777" w:rsidR="005E2537" w:rsidRDefault="00000000">
            <w:r>
              <w:rPr>
                <w:sz w:val="20"/>
                <w:szCs w:val="20"/>
              </w:rPr>
              <w:t>Applied to direct cost base</w:t>
            </w:r>
          </w:p>
        </w:tc>
      </w:tr>
      <w:tr w:rsidR="005E2537" w14:paraId="01EE5811" w14:textId="77777777">
        <w:tc>
          <w:tcPr>
            <w:tcW w:w="504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86FEE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TOTAL BASIS OF ESTIMATE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AFBB7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$4,800,000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777DE" w14:textId="77777777" w:rsidR="005E2537" w:rsidRDefault="00000000">
            <w:r>
              <w:rPr>
                <w:b/>
                <w:bCs/>
                <w:color w:val="1F3864"/>
                <w:sz w:val="20"/>
                <w:szCs w:val="20"/>
              </w:rPr>
              <w:t>24 months</w:t>
            </w:r>
          </w:p>
        </w:tc>
      </w:tr>
    </w:tbl>
    <w:p w14:paraId="2FB5448A" w14:textId="77777777" w:rsidR="005E2537" w:rsidRDefault="005E2537">
      <w:pPr>
        <w:spacing w:after="4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E2537" w14:paraId="458F2509" w14:textId="77777777">
        <w:trPr>
          <w:tblHeader/>
        </w:trPr>
        <w:tc>
          <w:tcPr>
            <w:tcW w:w="468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33D19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Basis of Estimate (BOE)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BC630" w14:textId="77777777" w:rsidR="005E2537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5E2537" w14:paraId="2299F24C" w14:textId="77777777">
        <w:tc>
          <w:tcPr>
            <w:tcW w:w="468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C9F04" w14:textId="77777777" w:rsidR="005E2537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D20A3" w14:textId="77777777" w:rsidR="005E2537" w:rsidRDefault="00000000">
            <w:r>
              <w:rPr>
                <w:sz w:val="20"/>
                <w:szCs w:val="20"/>
              </w:rPr>
              <w:t>$4,800,000</w:t>
            </w:r>
          </w:p>
        </w:tc>
      </w:tr>
      <w:tr w:rsidR="005E2537" w14:paraId="3539172E" w14:textId="77777777">
        <w:tc>
          <w:tcPr>
            <w:tcW w:w="468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10270" w14:textId="77777777" w:rsidR="005E2537" w:rsidRDefault="00000000">
            <w:r>
              <w:rPr>
                <w:sz w:val="20"/>
                <w:szCs w:val="20"/>
              </w:rPr>
              <w:t>Resource Sharing (if applicable)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D0D7E0"/>
              <w:right w:val="nil"/>
            </w:tcBorders>
            <w:shd w:val="clear" w:color="auto" w:fill="F4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73856" w14:textId="77777777" w:rsidR="005E2537" w:rsidRDefault="00000000">
            <w:r>
              <w:rPr>
                <w:sz w:val="20"/>
                <w:szCs w:val="20"/>
              </w:rPr>
              <w:t>Not applicable at this time</w:t>
            </w:r>
          </w:p>
        </w:tc>
      </w:tr>
    </w:tbl>
    <w:p w14:paraId="6A3B14AD" w14:textId="77777777" w:rsidR="005E2537" w:rsidRDefault="005E2537">
      <w:pPr>
        <w:spacing w:after="56"/>
      </w:pPr>
    </w:p>
    <w:p w14:paraId="7795304C" w14:textId="77777777" w:rsidR="005E2537" w:rsidRDefault="00000000">
      <w:pPr>
        <w:spacing w:after="40"/>
      </w:pPr>
      <w:r>
        <w:rPr>
          <w:i/>
          <w:iCs/>
          <w:color w:val="595959"/>
          <w:sz w:val="16"/>
          <w:szCs w:val="16"/>
        </w:rPr>
        <w:t>Proprietary — Biomarkr, Inc.  |  ARPA-H-SOL-24-106  |  June 2026</w:t>
      </w:r>
    </w:p>
    <w:sectPr w:rsidR="005E253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09B3" w14:textId="77777777" w:rsidR="003D75E4" w:rsidRDefault="003D75E4">
      <w:r>
        <w:separator/>
      </w:r>
    </w:p>
  </w:endnote>
  <w:endnote w:type="continuationSeparator" w:id="0">
    <w:p w14:paraId="4B0B42D2" w14:textId="77777777" w:rsidR="003D75E4" w:rsidRDefault="003D7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9FA2" w14:textId="6DBE806D" w:rsidR="005E2537" w:rsidRDefault="00000000">
    <w:pPr>
      <w:pBdr>
        <w:top w:val="single" w:sz="4" w:space="4" w:color="AAAAAA"/>
      </w:pBdr>
      <w:tabs>
        <w:tab w:val="right" w:pos="9026"/>
      </w:tabs>
      <w:spacing w:before="40"/>
    </w:pPr>
    <w:r>
      <w:rPr>
        <w:color w:val="595959"/>
        <w:sz w:val="18"/>
        <w:szCs w:val="18"/>
      </w:rPr>
      <w:t xml:space="preserve">Proprietary — </w:t>
    </w:r>
    <w:r w:rsidR="00ED436B">
      <w:rPr>
        <w:color w:val="595959"/>
        <w:sz w:val="18"/>
        <w:szCs w:val="18"/>
      </w:rPr>
      <w:t>Proactive Dx</w:t>
    </w:r>
    <w:r>
      <w:rPr>
        <w:color w:val="595959"/>
        <w:sz w:val="18"/>
        <w:szCs w:val="18"/>
      </w:rPr>
      <w:t xml:space="preserve">, Inc.  |  </w:t>
    </w:r>
    <w:proofErr w:type="spellStart"/>
    <w:r>
      <w:rPr>
        <w:color w:val="595959"/>
        <w:sz w:val="18"/>
        <w:szCs w:val="18"/>
      </w:rPr>
      <w:t>biomarkr.health</w:t>
    </w:r>
    <w:proofErr w:type="spellEnd"/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206C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DE8A" w14:textId="77777777" w:rsidR="003D75E4" w:rsidRDefault="003D75E4">
      <w:r>
        <w:separator/>
      </w:r>
    </w:p>
  </w:footnote>
  <w:footnote w:type="continuationSeparator" w:id="0">
    <w:p w14:paraId="63B7D88B" w14:textId="77777777" w:rsidR="003D75E4" w:rsidRDefault="003D7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964F" w14:textId="77777777" w:rsidR="005E2537" w:rsidRDefault="00000000">
    <w:pPr>
      <w:pBdr>
        <w:bottom w:val="single" w:sz="4" w:space="4" w:color="AAAAAA"/>
      </w:pBdr>
      <w:tabs>
        <w:tab w:val="right" w:pos="9026"/>
      </w:tabs>
      <w:spacing w:after="40"/>
    </w:pPr>
    <w:r>
      <w:rPr>
        <w:color w:val="595959"/>
        <w:sz w:val="18"/>
        <w:szCs w:val="18"/>
      </w:rPr>
      <w:t>Proactive Dx, Inc. (aka Biomarkr)</w:t>
    </w:r>
    <w:r>
      <w:rPr>
        <w:sz w:val="18"/>
        <w:szCs w:val="18"/>
      </w:rPr>
      <w:tab/>
    </w:r>
    <w:r>
      <w:rPr>
        <w:color w:val="595959"/>
        <w:sz w:val="18"/>
        <w:szCs w:val="18"/>
      </w:rPr>
      <w:t>ARPA-H Mission Office Solution Summary  |  ARPA-H-SOL-24-106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6FF4"/>
    <w:multiLevelType w:val="hybridMultilevel"/>
    <w:tmpl w:val="49AEF872"/>
    <w:lvl w:ilvl="0" w:tplc="D442A6EC">
      <w:start w:val="1"/>
      <w:numFmt w:val="bullet"/>
      <w:lvlText w:val="•"/>
      <w:lvlJc w:val="left"/>
      <w:pPr>
        <w:ind w:left="640" w:hanging="320"/>
      </w:pPr>
    </w:lvl>
    <w:lvl w:ilvl="1" w:tplc="473AC908">
      <w:numFmt w:val="decimal"/>
      <w:lvlText w:val=""/>
      <w:lvlJc w:val="left"/>
    </w:lvl>
    <w:lvl w:ilvl="2" w:tplc="CE622998">
      <w:numFmt w:val="decimal"/>
      <w:lvlText w:val=""/>
      <w:lvlJc w:val="left"/>
    </w:lvl>
    <w:lvl w:ilvl="3" w:tplc="3996A2EE">
      <w:numFmt w:val="decimal"/>
      <w:lvlText w:val=""/>
      <w:lvlJc w:val="left"/>
    </w:lvl>
    <w:lvl w:ilvl="4" w:tplc="2CE4A9C6">
      <w:numFmt w:val="decimal"/>
      <w:lvlText w:val=""/>
      <w:lvlJc w:val="left"/>
    </w:lvl>
    <w:lvl w:ilvl="5" w:tplc="971816E6">
      <w:numFmt w:val="decimal"/>
      <w:lvlText w:val=""/>
      <w:lvlJc w:val="left"/>
    </w:lvl>
    <w:lvl w:ilvl="6" w:tplc="C172B73A">
      <w:numFmt w:val="decimal"/>
      <w:lvlText w:val=""/>
      <w:lvlJc w:val="left"/>
    </w:lvl>
    <w:lvl w:ilvl="7" w:tplc="A8741D36">
      <w:numFmt w:val="decimal"/>
      <w:lvlText w:val=""/>
      <w:lvlJc w:val="left"/>
    </w:lvl>
    <w:lvl w:ilvl="8" w:tplc="F34EAFBE">
      <w:numFmt w:val="decimal"/>
      <w:lvlText w:val=""/>
      <w:lvlJc w:val="left"/>
    </w:lvl>
  </w:abstractNum>
  <w:abstractNum w:abstractNumId="1" w15:restartNumberingAfterBreak="0">
    <w:nsid w:val="7C9A620A"/>
    <w:multiLevelType w:val="hybridMultilevel"/>
    <w:tmpl w:val="22AC9084"/>
    <w:lvl w:ilvl="0" w:tplc="C4380DB0">
      <w:start w:val="1"/>
      <w:numFmt w:val="bullet"/>
      <w:lvlText w:val="●"/>
      <w:lvlJc w:val="left"/>
      <w:pPr>
        <w:ind w:left="720" w:hanging="360"/>
      </w:pPr>
    </w:lvl>
    <w:lvl w:ilvl="1" w:tplc="896A3CEE">
      <w:start w:val="1"/>
      <w:numFmt w:val="bullet"/>
      <w:lvlText w:val="○"/>
      <w:lvlJc w:val="left"/>
      <w:pPr>
        <w:ind w:left="1440" w:hanging="360"/>
      </w:pPr>
    </w:lvl>
    <w:lvl w:ilvl="2" w:tplc="EC5AB672">
      <w:start w:val="1"/>
      <w:numFmt w:val="bullet"/>
      <w:lvlText w:val="■"/>
      <w:lvlJc w:val="left"/>
      <w:pPr>
        <w:ind w:left="2160" w:hanging="360"/>
      </w:pPr>
    </w:lvl>
    <w:lvl w:ilvl="3" w:tplc="B62C451A">
      <w:start w:val="1"/>
      <w:numFmt w:val="bullet"/>
      <w:lvlText w:val="●"/>
      <w:lvlJc w:val="left"/>
      <w:pPr>
        <w:ind w:left="2880" w:hanging="360"/>
      </w:pPr>
    </w:lvl>
    <w:lvl w:ilvl="4" w:tplc="5DFAA6A6">
      <w:start w:val="1"/>
      <w:numFmt w:val="bullet"/>
      <w:lvlText w:val="○"/>
      <w:lvlJc w:val="left"/>
      <w:pPr>
        <w:ind w:left="3600" w:hanging="360"/>
      </w:pPr>
    </w:lvl>
    <w:lvl w:ilvl="5" w:tplc="CF5ECFB6">
      <w:start w:val="1"/>
      <w:numFmt w:val="bullet"/>
      <w:lvlText w:val="■"/>
      <w:lvlJc w:val="left"/>
      <w:pPr>
        <w:ind w:left="4320" w:hanging="360"/>
      </w:pPr>
    </w:lvl>
    <w:lvl w:ilvl="6" w:tplc="0B5ABC7E">
      <w:start w:val="1"/>
      <w:numFmt w:val="bullet"/>
      <w:lvlText w:val="●"/>
      <w:lvlJc w:val="left"/>
      <w:pPr>
        <w:ind w:left="5040" w:hanging="360"/>
      </w:pPr>
    </w:lvl>
    <w:lvl w:ilvl="7" w:tplc="D3D41B76">
      <w:start w:val="1"/>
      <w:numFmt w:val="bullet"/>
      <w:lvlText w:val="●"/>
      <w:lvlJc w:val="left"/>
      <w:pPr>
        <w:ind w:left="5760" w:hanging="360"/>
      </w:pPr>
    </w:lvl>
    <w:lvl w:ilvl="8" w:tplc="F6BAC646">
      <w:start w:val="1"/>
      <w:numFmt w:val="bullet"/>
      <w:lvlText w:val="●"/>
      <w:lvlJc w:val="left"/>
      <w:pPr>
        <w:ind w:left="6480" w:hanging="360"/>
      </w:pPr>
    </w:lvl>
  </w:abstractNum>
  <w:num w:numId="1" w16cid:durableId="1749157630">
    <w:abstractNumId w:val="1"/>
    <w:lvlOverride w:ilvl="0">
      <w:startOverride w:val="1"/>
    </w:lvlOverride>
  </w:num>
  <w:num w:numId="2" w16cid:durableId="143485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537"/>
    <w:rsid w:val="00206CF6"/>
    <w:rsid w:val="00206ED3"/>
    <w:rsid w:val="003D75E4"/>
    <w:rsid w:val="00400507"/>
    <w:rsid w:val="005E2537"/>
    <w:rsid w:val="006B0204"/>
    <w:rsid w:val="007500BF"/>
    <w:rsid w:val="0076126A"/>
    <w:rsid w:val="00A75FF1"/>
    <w:rsid w:val="00AE4D67"/>
    <w:rsid w:val="00B00D52"/>
    <w:rsid w:val="00C15EC3"/>
    <w:rsid w:val="00C85700"/>
    <w:rsid w:val="00CC50B9"/>
    <w:rsid w:val="00CF4548"/>
    <w:rsid w:val="00D26B30"/>
    <w:rsid w:val="00ED436B"/>
    <w:rsid w:val="00F5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2E0B"/>
  <w15:docId w15:val="{1A723D67-E143-47ED-813E-3BC165A6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unhideWhenUsed/>
    <w:qFormat/>
    <w:pPr>
      <w:spacing w:before="100" w:after="60"/>
      <w:outlineLvl w:val="1"/>
    </w:pPr>
    <w:rPr>
      <w:b/>
      <w:bCs/>
      <w:color w:val="2F549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43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36B"/>
  </w:style>
  <w:style w:type="paragraph" w:styleId="Footer">
    <w:name w:val="footer"/>
    <w:basedOn w:val="Normal"/>
    <w:link w:val="FooterChar"/>
    <w:uiPriority w:val="99"/>
    <w:unhideWhenUsed/>
    <w:rsid w:val="00ED43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2504</Words>
  <Characters>14273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Reuven Duer</cp:lastModifiedBy>
  <cp:revision>8</cp:revision>
  <dcterms:created xsi:type="dcterms:W3CDTF">2026-06-10T18:33:00Z</dcterms:created>
  <dcterms:modified xsi:type="dcterms:W3CDTF">2026-06-10T22:05:00Z</dcterms:modified>
</cp:coreProperties>
</file>