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223EE" w14:textId="77777777" w:rsidR="00505FD3" w:rsidRDefault="00B12884">
      <w:pPr>
        <w:spacing w:before="1800" w:after="200"/>
        <w:jc w:val="center"/>
      </w:pPr>
      <w:r>
        <w:rPr>
          <w:b/>
          <w:bCs/>
          <w:color w:val="666666"/>
          <w:spacing w:val="80"/>
        </w:rPr>
        <w:t>BIOMARKR</w:t>
      </w:r>
    </w:p>
    <w:p w14:paraId="384918C2" w14:textId="77777777" w:rsidR="00505FD3" w:rsidRDefault="00B12884">
      <w:pPr>
        <w:spacing w:after="240"/>
        <w:jc w:val="center"/>
      </w:pPr>
      <w:r>
        <w:rPr>
          <w:color w:val="888888"/>
        </w:rPr>
        <w:t>White Paper</w:t>
      </w:r>
    </w:p>
    <w:p w14:paraId="6747A643" w14:textId="77777777" w:rsidR="00505FD3" w:rsidRDefault="00B12884">
      <w:pPr>
        <w:spacing w:after="160"/>
        <w:jc w:val="center"/>
      </w:pPr>
      <w:r>
        <w:rPr>
          <w:b/>
          <w:bCs/>
          <w:color w:val="0B0B0B"/>
          <w:sz w:val="48"/>
          <w:szCs w:val="48"/>
        </w:rPr>
        <w:t>Cytokine Signatures in Health and Disease</w:t>
      </w:r>
    </w:p>
    <w:p w14:paraId="42C245BC" w14:textId="77777777" w:rsidR="00505FD3" w:rsidRDefault="00B12884">
      <w:pPr>
        <w:spacing w:after="600"/>
        <w:jc w:val="center"/>
      </w:pPr>
      <w:r>
        <w:rPr>
          <w:i/>
          <w:iCs/>
          <w:color w:val="444444"/>
          <w:sz w:val="28"/>
          <w:szCs w:val="28"/>
        </w:rPr>
        <w:t>Biological foundations of the Q-SENS Core Inflammation Panel</w:t>
      </w:r>
    </w:p>
    <w:p w14:paraId="31FA1EA1" w14:textId="77777777" w:rsidR="00505FD3" w:rsidRDefault="00B12884">
      <w:pPr>
        <w:spacing w:after="120"/>
        <w:jc w:val="center"/>
      </w:pPr>
      <w:r>
        <w:rPr>
          <w:b/>
          <w:bCs/>
          <w:color w:val="0B0B0B"/>
          <w:sz w:val="26"/>
          <w:szCs w:val="26"/>
        </w:rPr>
        <w:t>IL-6  ·  IL-1β  ·  TNF-α  ·  IFN-γ  ·  IL-10</w:t>
      </w:r>
    </w:p>
    <w:p w14:paraId="6375DE74" w14:textId="77777777" w:rsidR="00505FD3" w:rsidRDefault="00B12884">
      <w:pPr>
        <w:spacing w:after="1600"/>
        <w:jc w:val="center"/>
      </w:pPr>
      <w:r>
        <w:rPr>
          <w:color w:val="888888"/>
          <w:sz w:val="20"/>
          <w:szCs w:val="20"/>
        </w:rPr>
        <w:t>A five-marker panel for longitudinal immune monitoring</w:t>
      </w:r>
    </w:p>
    <w:p w14:paraId="3BE3EB6C" w14:textId="77777777" w:rsidR="00505FD3" w:rsidRDefault="00B12884">
      <w:pPr>
        <w:spacing w:after="120"/>
        <w:jc w:val="center"/>
      </w:pPr>
      <w:r>
        <w:rPr>
          <w:color w:val="444444"/>
        </w:rPr>
        <w:t>Biomarkr / Proactive Dx</w:t>
      </w:r>
    </w:p>
    <w:p w14:paraId="31CB5B90" w14:textId="77777777" w:rsidR="00505FD3" w:rsidRDefault="00B12884">
      <w:pPr>
        <w:spacing w:after="120"/>
        <w:jc w:val="center"/>
      </w:pPr>
      <w:r>
        <w:rPr>
          <w:color w:val="666666"/>
          <w:sz w:val="20"/>
          <w:szCs w:val="20"/>
        </w:rPr>
        <w:t>biomarkr.health</w:t>
      </w:r>
    </w:p>
    <w:p w14:paraId="6184682B" w14:textId="77777777" w:rsidR="00505FD3" w:rsidRDefault="00B12884">
      <w:pPr>
        <w:spacing w:before="600"/>
        <w:jc w:val="center"/>
      </w:pPr>
      <w:r>
        <w:rPr>
          <w:color w:val="888888"/>
          <w:sz w:val="18"/>
          <w:szCs w:val="18"/>
        </w:rPr>
        <w:t>Version 1.0</w:t>
      </w:r>
    </w:p>
    <w:p w14:paraId="2F9D370D" w14:textId="77777777" w:rsidR="00505FD3" w:rsidRDefault="00B12884">
      <w:pPr>
        <w:pageBreakBefore/>
      </w:pPr>
      <w:r>
        <w:lastRenderedPageBreak/>
        <w:br/>
      </w:r>
    </w:p>
    <w:p w14:paraId="3D55CA1C" w14:textId="77777777" w:rsidR="00505FD3" w:rsidRDefault="00B12884">
      <w:pPr>
        <w:pStyle w:val="Heading1"/>
        <w:spacing w:before="360" w:after="160"/>
      </w:pPr>
      <w:r>
        <w:t>Executive Summary</w:t>
      </w:r>
    </w:p>
    <w:p w14:paraId="1F376C97" w14:textId="77777777" w:rsidR="00505FD3" w:rsidRDefault="00B12884">
      <w:pPr>
        <w:spacing w:after="160" w:line="300" w:lineRule="auto"/>
        <w:jc w:val="both"/>
      </w:pPr>
      <w:r>
        <w:t xml:space="preserve">The Q-SENS Core Inflammation Panel (CIP) measures five cytokines: IL-6, IL-1β, TNF-α, IFN-γ, and IL-10. These were not selected as a convenience set. They are the most biologically informative members of the innate-to-adaptive immune cascade, spanning early macrophage and tissue activation (TNF-α, IL-1β), systemic acute-phase signaling (IL-6), Th1 effector function (IFN-γ), and counter-regulatory immunosuppression (IL-10). Together, they capture both the magnitude and the </w:t>
      </w:r>
      <w:r>
        <w:rPr>
          <w:i/>
          <w:iCs/>
        </w:rPr>
        <w:t>direction</w:t>
      </w:r>
      <w:r>
        <w:t xml:space="preserve"> of an immune response.</w:t>
      </w:r>
    </w:p>
    <w:p w14:paraId="2C4D9D38" w14:textId="77777777" w:rsidR="00505FD3" w:rsidRDefault="00B12884">
      <w:pPr>
        <w:spacing w:after="160" w:line="300" w:lineRule="auto"/>
        <w:jc w:val="both"/>
      </w:pPr>
      <w:r>
        <w:t xml:space="preserve">The clinical insight that emerges from this combination is that disease state is encoded not only in absolute concentrations, but in </w:t>
      </w:r>
      <w:r>
        <w:rPr>
          <w:i/>
          <w:iCs/>
        </w:rPr>
        <w:t>temporal trajectories and inter-cytokine ratios</w:t>
      </w:r>
      <w:r>
        <w:t xml:space="preserve">. The IL-6:IL-10 ratio differentiates surviving from non-surviving sepsis patients </w:t>
      </w:r>
      <w:r>
        <w:rPr>
          <w:color w:val="666666"/>
        </w:rPr>
        <w:t>[1, 2]</w:t>
      </w:r>
      <w:r>
        <w:t xml:space="preserve">. The IL-10:IFN-γ balance distinguishes immune-active from immune-exhausted cancer trajectories </w:t>
      </w:r>
      <w:r>
        <w:rPr>
          <w:color w:val="666666"/>
        </w:rPr>
        <w:t>[3, 4]</w:t>
      </w:r>
      <w:r>
        <w:t xml:space="preserve">. The temporal lag between TNF-α and IL-10 peaks reveals the integrity of the compensatory anti-inflammatory response in critical illness </w:t>
      </w:r>
      <w:r>
        <w:rPr>
          <w:color w:val="666666"/>
        </w:rPr>
        <w:t>[5, 6]</w:t>
      </w:r>
      <w:r>
        <w:t>.</w:t>
      </w:r>
    </w:p>
    <w:p w14:paraId="3895484F" w14:textId="77777777" w:rsidR="00505FD3" w:rsidRDefault="00B12884">
      <w:pPr>
        <w:spacing w:after="160" w:line="300" w:lineRule="auto"/>
        <w:jc w:val="both"/>
      </w:pPr>
      <w:r>
        <w:t>This white paper documents the immunological pathways underlying the CIP, the published evidence for the cytokine trajectories observed in seven clinical states (healthy, cancer, rheumatoid arthritis, sepsis-survivor, sepsis-fatal, IBD/Crohn’s, COVID-19), and the modifiers (age, sex, BMI, treatment) that shape these trajectories in real patients. It serves as the scientific foundation for the Biomarkr Q-SENS simulator and for the broader claim that longitudinal, multiplexed cytokine measurement, against a p</w:t>
      </w:r>
      <w:r>
        <w:t>ersonalized baseline, is a more informative diagnostic modality than any single biomarker measured at a single time point.</w:t>
      </w:r>
    </w:p>
    <w:p w14:paraId="5203C5CE" w14:textId="77777777" w:rsidR="00505FD3" w:rsidRDefault="00B12884">
      <w:pPr>
        <w:pStyle w:val="Heading1"/>
        <w:spacing w:before="360" w:after="160"/>
      </w:pPr>
      <w:r>
        <w:t>1. Why These Five Cytokines</w:t>
      </w:r>
    </w:p>
    <w:p w14:paraId="75C85822" w14:textId="77777777" w:rsidR="00505FD3" w:rsidRDefault="00B12884">
      <w:pPr>
        <w:spacing w:after="160" w:line="300" w:lineRule="auto"/>
        <w:jc w:val="both"/>
      </w:pPr>
      <w:r>
        <w:t xml:space="preserve">The five cytokines in the CIP were selected to span the four functional axes of the inflammatory response: </w:t>
      </w:r>
      <w:r>
        <w:rPr>
          <w:b/>
          <w:bCs/>
        </w:rPr>
        <w:t>innate initiation</w:t>
      </w:r>
      <w:r>
        <w:t xml:space="preserve"> (TNF-α, IL-1β), </w:t>
      </w:r>
      <w:r>
        <w:rPr>
          <w:b/>
          <w:bCs/>
        </w:rPr>
        <w:t>systemic amplification</w:t>
      </w:r>
      <w:r>
        <w:t xml:space="preserve"> (IL-6), </w:t>
      </w:r>
      <w:r>
        <w:rPr>
          <w:b/>
          <w:bCs/>
        </w:rPr>
        <w:t>adaptive effector function</w:t>
      </w:r>
      <w:r>
        <w:t xml:space="preserve"> (IFN-γ), and </w:t>
      </w:r>
      <w:r>
        <w:rPr>
          <w:b/>
          <w:bCs/>
        </w:rPr>
        <w:t>counter-regulation</w:t>
      </w:r>
      <w:r>
        <w:t xml:space="preserve"> (IL-10). Each axis is well established in the immunology literature </w:t>
      </w:r>
      <w:r>
        <w:rPr>
          <w:color w:val="666666"/>
        </w:rPr>
        <w:t>[7, 8]</w:t>
      </w:r>
      <w:r>
        <w:t>. Measuring all four allows the panel to distinguish a balanced response from a dysregulated one, an early response from a late one, and an effective resolution from a failed one.</w:t>
      </w:r>
    </w:p>
    <w:p w14:paraId="21EA0A90" w14:textId="77777777" w:rsidR="00505FD3" w:rsidRDefault="00B12884">
      <w:pPr>
        <w:pStyle w:val="Heading2"/>
        <w:spacing w:before="280" w:after="120"/>
      </w:pPr>
      <w:r>
        <w:t>1.1 TNF-α: First Responder</w:t>
      </w:r>
    </w:p>
    <w:p w14:paraId="2AA3F3AE" w14:textId="77777777" w:rsidR="00505FD3" w:rsidRDefault="00B12884">
      <w:pPr>
        <w:spacing w:after="160" w:line="300" w:lineRule="auto"/>
        <w:jc w:val="both"/>
      </w:pPr>
      <w:r>
        <w:t>TNF-α is produced primarily by macrophages, monocytes, and synovial fibroblasts within minutes to hours of pathogen recognition by Toll-like receptors (TLR2, TLR4) [7, 9]. It is the apex of the pro-inflammatory cascade: blockade of TNF-α in vitro markedly reduces production of IL-1, IL-6, IL-8, and GM-CSF [10, 19]. In sepsis, TNF-α typically peaks within 2-4 hours of infection onset and declines rapidly through receptor downregulation [5]. In rheumatoid arthritis, TNF-α sits at the top of the cytokine hiera</w:t>
      </w:r>
      <w:r>
        <w:t xml:space="preserve">rchy that drives </w:t>
      </w:r>
      <w:r>
        <w:lastRenderedPageBreak/>
        <w:t>synovial inflammation, cartilage destruction, and bone erosion. The therapeutic success of anti-TNF biologics confirms its causal role [10, 11].</w:t>
      </w:r>
    </w:p>
    <w:p w14:paraId="6EC82AFB" w14:textId="77777777" w:rsidR="00505FD3" w:rsidRDefault="00B12884">
      <w:pPr>
        <w:pStyle w:val="Heading2"/>
        <w:spacing w:before="280" w:after="120"/>
      </w:pPr>
      <w:r>
        <w:t>1.2 IL-1β: Inflammasome-Driven Amplifier</w:t>
      </w:r>
    </w:p>
    <w:p w14:paraId="1025D80C" w14:textId="77777777" w:rsidR="00505FD3" w:rsidRDefault="00B12884">
      <w:pPr>
        <w:spacing w:after="160" w:line="300" w:lineRule="auto"/>
        <w:jc w:val="both"/>
      </w:pPr>
      <w:r>
        <w:t>IL-1β is produced through inflammasome activation (most prominently NLRP3) in response to pathogen-associated and damage-associated molecular patterns [8]. It works synergistically with TNF-α to amplify the local inflammatory signal and drive IL-6 production. In sepsis, IL-1β kinetics are more variable than TNF-α or IL-6 and detection in serum is inconsistent [5]. In Crohn’s disease, IL-1β is part of the chronic pro-inflammatory tier that sits beneath the Th1 cytokine signal of IFN-γ [12].</w:t>
      </w:r>
    </w:p>
    <w:p w14:paraId="16DDF763" w14:textId="77777777" w:rsidR="00505FD3" w:rsidRDefault="00B12884">
      <w:pPr>
        <w:pStyle w:val="Heading2"/>
        <w:spacing w:before="280" w:after="120"/>
      </w:pPr>
      <w:r>
        <w:t>1.3 IL-6: Systemic Severity Marker</w:t>
      </w:r>
    </w:p>
    <w:p w14:paraId="5C685F30" w14:textId="77777777" w:rsidR="00505FD3" w:rsidRDefault="00B12884">
      <w:pPr>
        <w:spacing w:after="160" w:line="300" w:lineRule="auto"/>
        <w:jc w:val="both"/>
      </w:pPr>
      <w:r>
        <w:t>IL-6 is the most clinically validated systemic marker of inflammation in the panel. It is induced downstream of TNF-α and IL-1β and drives the hepatic acute-phase response (CRP, fibrinogen, serum amyloid A). In cancer, elevated serum IL-6 correlates with advanced stage, cachexia, and reduced survival across virtually every solid-tumor histology [3, 13, 14]. In sepsis, IL-6 peaks 6-12 hours after onset, has a longer half-life than TNF-α, and is the strongest single-cytokine predictor of severity and mortalit</w:t>
      </w:r>
      <w:r>
        <w:t>y among the routinely measurable inflammatory markers [2, 5]. In RA, IL-6 is among the most abundant cytokines in synovial fluid and correlates with the histological severity of synovitis [10, 15]. IL-6 also drives muscle wasting in cancer cachexia through STAT3 activation in skeletal myocytes [16].</w:t>
      </w:r>
    </w:p>
    <w:p w14:paraId="2B18A68E" w14:textId="77777777" w:rsidR="00505FD3" w:rsidRDefault="00B12884">
      <w:pPr>
        <w:pStyle w:val="Heading2"/>
        <w:spacing w:before="280" w:after="120"/>
      </w:pPr>
      <w:r>
        <w:t>1.4 IFN-γ: Adaptive Effector Function</w:t>
      </w:r>
    </w:p>
    <w:p w14:paraId="6BBA6190" w14:textId="77777777" w:rsidR="00505FD3" w:rsidRDefault="00B12884">
      <w:pPr>
        <w:spacing w:after="160" w:line="300" w:lineRule="auto"/>
        <w:jc w:val="both"/>
      </w:pPr>
      <w:r>
        <w:t xml:space="preserve">IFN-γ is produced by NK cells (early innate response) and Th1 CD4+ and CD8+ T cells (adaptive response). It is the marker of effector immune function: high IFN-γ indicates an active anti-pathogen or anti-tumor response. In cancer, the IFN-γ trajectory is biphasic and bidirectional. Early-stage tumor surveillance shows elevated IFN-γ from cytotoxic CD8+ and NK cells, but prolonged exposure upregulates PD-L1, recruits regulatory T cells, and drives T-cell exhaustion, leading to a progressive decline in IFN-γ </w:t>
      </w:r>
      <w:r>
        <w:t>production by tumor-infiltrating lymphocytes [4, 17]. In sepsis, IFN-γ reflects the integrity of the adaptive arm of the response; its collapse during the immunoparalysis phase is associated with secondary infections, organ dysfunction, and mortality [6, 18]. In COVID-19, IFN-γ production is delayed by SARS-CoV-2-encoded interferon-evasion mechanisms, distinguishing the cytokine kinetics from those of bacterial infections [19, 20].</w:t>
      </w:r>
    </w:p>
    <w:p w14:paraId="683DB231" w14:textId="77777777" w:rsidR="00505FD3" w:rsidRDefault="00B12884">
      <w:pPr>
        <w:pStyle w:val="Heading2"/>
        <w:spacing w:before="280" w:after="120"/>
      </w:pPr>
      <w:r>
        <w:t>1.5 IL-10: Counter-Regulation</w:t>
      </w:r>
    </w:p>
    <w:p w14:paraId="21E9FCC3" w14:textId="77777777" w:rsidR="00505FD3" w:rsidRDefault="00B12884">
      <w:pPr>
        <w:spacing w:after="160" w:line="300" w:lineRule="auto"/>
        <w:jc w:val="both"/>
      </w:pPr>
      <w:r>
        <w:t xml:space="preserve">IL-10 is the principal counter-regulatory cytokine of the immune response. It is produced by regulatory T cells, type 1 regulatory T cells, M2 macrophages, regulatory B cells, and to a lesser extent by activated effector T cells. Its functions include suppressing macrophage and dendritic cell antigen presentation, reducing pro-inflammatory cytokine production, and limiting collateral tissue damage during resolution </w:t>
      </w:r>
      <w:r>
        <w:lastRenderedPageBreak/>
        <w:t xml:space="preserve">of inflammation [21]. In sepsis, the timing and magnitude of the IL-10 response (the Compensatory Anti-inflammatory Response Syndrome, or CARS) determines whether resolution proceeds normally or transitions into immunoparalysis [6, 22]. In cancer, persistent IL-10 elevation contributes to the immunosuppressive tumor microenvironment and is associated with worse survival across multiple cancer types in meta-analysis [3]. In IBD, the situation is reversed: IL-10 is </w:t>
      </w:r>
      <w:r>
        <w:rPr>
          <w:i/>
          <w:iCs/>
        </w:rPr>
        <w:t>insufficient</w:t>
      </w:r>
      <w:r>
        <w:t xml:space="preserve"> relative to the chronic Th1 inf</w:t>
      </w:r>
      <w:r>
        <w:t>lammatory load. Mice lacking IL-10 spontaneously develop colitis, demonstrating that IL-10 deficiency is itself pathogenic, not merely permissive, in gut inflammation [23, 24].</w:t>
      </w:r>
    </w:p>
    <w:p w14:paraId="28927B17" w14:textId="77777777" w:rsidR="00505FD3" w:rsidRDefault="00B12884">
      <w:pPr>
        <w:pStyle w:val="Heading1"/>
        <w:spacing w:before="360" w:after="160"/>
      </w:pPr>
      <w:r>
        <w:t>2. The Pathways at Work</w:t>
      </w:r>
    </w:p>
    <w:p w14:paraId="1688E851" w14:textId="77777777" w:rsidR="00505FD3" w:rsidRDefault="00B12884">
      <w:pPr>
        <w:pStyle w:val="Heading2"/>
        <w:spacing w:before="280" w:after="120"/>
      </w:pPr>
      <w:r>
        <w:t>2.1 The Innate Initiation Cascade</w:t>
      </w:r>
    </w:p>
    <w:p w14:paraId="1D451F6E" w14:textId="77777777" w:rsidR="00505FD3" w:rsidRDefault="00B12884">
      <w:pPr>
        <w:spacing w:after="160" w:line="300" w:lineRule="auto"/>
        <w:jc w:val="both"/>
      </w:pPr>
      <w:r>
        <w:t>Pathogen-associated molecular patterns (PAMPs) and damage-associated molecular patterns (DAMPs) are recognized by pattern recognition receptors, principally Toll-like receptors and NOD-like receptors. Activation triggers NF-κB and inflammasome signaling in tissue-resident macrophages and dendritic cells, leading to the rapid release of TNF-α and IL-1β [7, 8]. These cytokines act both locally (recruitment of neutrophils and monocytes to the site of inflammation) and systemically (activation of vascular endot</w:t>
      </w:r>
      <w:r>
        <w:t>helium, induction of fever via the hypothalamus). Within hours, TNF-α and IL-1β induce IL-6 production from a broad range of cell types, transitioning the response from local to systemic.</w:t>
      </w:r>
    </w:p>
    <w:p w14:paraId="7FD374AE" w14:textId="77777777" w:rsidR="00505FD3" w:rsidRDefault="00B12884">
      <w:pPr>
        <w:pStyle w:val="Heading2"/>
        <w:spacing w:before="280" w:after="120"/>
      </w:pPr>
      <w:r>
        <w:t>2.2 The Acute-Phase Response</w:t>
      </w:r>
    </w:p>
    <w:p w14:paraId="6E30407A" w14:textId="77777777" w:rsidR="00505FD3" w:rsidRDefault="00B12884">
      <w:pPr>
        <w:spacing w:after="160" w:line="300" w:lineRule="auto"/>
        <w:jc w:val="both"/>
      </w:pPr>
      <w:r>
        <w:t>IL-6 binds membrane-bound or soluble IL-6R, complexes with gp130, and activates JAK/STAT3 signaling in hepatocytes, inducing C-reactive protein (CRP), fibrinogen, serum amyloid A, and other acute-phase proteins [16]. CRP, the most clinically familiar marker of inflammation, is therefore a downstream proxy for IL-6. Direct IL-6 measurement provides a more sensitive and faster-responding readout of the inflammatory state than CRP, with quantitative information about the upstream signal rather than the lagging</w:t>
      </w:r>
      <w:r>
        <w:t xml:space="preserve"> hepatic response.</w:t>
      </w:r>
    </w:p>
    <w:p w14:paraId="4C267F88" w14:textId="77777777" w:rsidR="00505FD3" w:rsidRDefault="00B12884">
      <w:pPr>
        <w:pStyle w:val="Heading2"/>
        <w:spacing w:before="280" w:after="120"/>
      </w:pPr>
      <w:r>
        <w:t>2.3 Adaptive Activation: Th1 and the IFN-γ Axis</w:t>
      </w:r>
    </w:p>
    <w:p w14:paraId="7BF75DF1" w14:textId="77777777" w:rsidR="00505FD3" w:rsidRDefault="00B12884">
      <w:pPr>
        <w:spacing w:after="160" w:line="300" w:lineRule="auto"/>
        <w:jc w:val="both"/>
      </w:pPr>
      <w:r>
        <w:t xml:space="preserve">Antigen presentation in the context of IL-12 and IL-18 polarizes naive CD4+ T cells toward the Th1 lineage. Th1 cells, together with CD8+ cytotoxic T cells and NK cells, produce IFN-γ, which activates macrophages, upregulates MHC class I and II, and drives effector function against intracellular pathogens and tumor cells [4, 17]. Crohn’s disease is the prototypical Th1-driven chronic inflammatory disease, with IFN-γ described as </w:t>
      </w:r>
      <w:r>
        <w:rPr>
          <w:i/>
          <w:iCs/>
        </w:rPr>
        <w:t>primus inter pares</w:t>
      </w:r>
      <w:r>
        <w:t xml:space="preserve"> among the dysregulated cytokines in the gut mucosa [12].</w:t>
      </w:r>
    </w:p>
    <w:p w14:paraId="5BDBE913" w14:textId="77777777" w:rsidR="00505FD3" w:rsidRDefault="00B12884">
      <w:pPr>
        <w:pStyle w:val="Heading2"/>
        <w:spacing w:before="280" w:after="120"/>
      </w:pPr>
      <w:r>
        <w:t>2.4 The Counter-Regulatory Brake</w:t>
      </w:r>
    </w:p>
    <w:p w14:paraId="1E8967EE" w14:textId="77777777" w:rsidR="00505FD3" w:rsidRDefault="00B12884">
      <w:pPr>
        <w:spacing w:after="160" w:line="300" w:lineRule="auto"/>
        <w:jc w:val="both"/>
      </w:pPr>
      <w:r>
        <w:t xml:space="preserve">As an immune response progresses, regulatory cells (Tregs, Tr1, M2 macrophages) increase IL-10 production. IL-10 suppresses pro-inflammatory cytokine output, downregulates antigen-presenting cell </w:t>
      </w:r>
      <w:r>
        <w:lastRenderedPageBreak/>
        <w:t xml:space="preserve">function, and promotes resolution of inflammation [21]. In a healthy response, the IL-10 peak </w:t>
      </w:r>
      <w:r>
        <w:rPr>
          <w:i/>
          <w:iCs/>
        </w:rPr>
        <w:t>follows</w:t>
      </w:r>
      <w:r>
        <w:t xml:space="preserve"> the pro-inflammatory peak with a characteristic lag of hours (sepsis) to days (RA flare). When this brake fails to engage, the result is ongoing tissue damage. When it engages too aggressively or persists too long, the result is immunosuppression and susceptibility to secondary infection.</w:t>
      </w:r>
    </w:p>
    <w:p w14:paraId="1864C9C3" w14:textId="77777777" w:rsidR="00505FD3" w:rsidRDefault="00B12884">
      <w:pPr>
        <w:pStyle w:val="Heading2"/>
        <w:spacing w:before="280" w:after="120"/>
      </w:pPr>
      <w:r>
        <w:t>2.5 Why the Five Cytokines Together Are More Than Their Sum</w:t>
      </w:r>
    </w:p>
    <w:p w14:paraId="6D9D0F6F" w14:textId="77777777" w:rsidR="00505FD3" w:rsidRDefault="00B12884">
      <w:pPr>
        <w:spacing w:after="160" w:line="300" w:lineRule="auto"/>
        <w:jc w:val="both"/>
      </w:pPr>
      <w:r>
        <w:t>The clinical signal is in the relationships between the cytokines, not just their absolute values. Three derived metrics that the CIP enables are particularly informative:</w:t>
      </w:r>
    </w:p>
    <w:p w14:paraId="3D660E1C" w14:textId="77777777" w:rsidR="00505FD3" w:rsidRDefault="00B12884">
      <w:pPr>
        <w:pStyle w:val="ListParagraph"/>
        <w:numPr>
          <w:ilvl w:val="0"/>
          <w:numId w:val="2"/>
        </w:numPr>
        <w:spacing w:after="80" w:line="300" w:lineRule="auto"/>
        <w:jc w:val="both"/>
      </w:pPr>
      <w:r>
        <w:rPr>
          <w:b/>
          <w:bCs/>
        </w:rPr>
        <w:t>IL-6:IL-10 ratio</w:t>
      </w:r>
      <w:r>
        <w:t xml:space="preserve"> as a sepsis severity and mortality predictor </w:t>
      </w:r>
      <w:r>
        <w:rPr>
          <w:color w:val="666666"/>
        </w:rPr>
        <w:t>[1, 2]</w:t>
      </w:r>
      <w:r>
        <w:t xml:space="preserve">. The GenIMS study and subsequent ProCESS trial trajectory analysis showed that elevated levels of both, with blunted decline, identified the highest-mortality cluster </w:t>
      </w:r>
      <w:r>
        <w:rPr>
          <w:color w:val="666666"/>
        </w:rPr>
        <w:t>[2]</w:t>
      </w:r>
      <w:r>
        <w:t>.</w:t>
      </w:r>
    </w:p>
    <w:p w14:paraId="0F381A85" w14:textId="77777777" w:rsidR="00505FD3" w:rsidRDefault="00B12884">
      <w:pPr>
        <w:pStyle w:val="ListParagraph"/>
        <w:numPr>
          <w:ilvl w:val="0"/>
          <w:numId w:val="2"/>
        </w:numPr>
        <w:spacing w:after="80" w:line="300" w:lineRule="auto"/>
        <w:jc w:val="both"/>
      </w:pPr>
      <w:r>
        <w:rPr>
          <w:b/>
          <w:bCs/>
        </w:rPr>
        <w:t>IL-10:IFN-γ ratio</w:t>
      </w:r>
      <w:r>
        <w:t xml:space="preserve"> as a marker of immunoparalysis in sepsis and immune exhaustion in cancer. A rising ratio indicates the immune system is shifting from effector function to suppression.</w:t>
      </w:r>
    </w:p>
    <w:p w14:paraId="765E2BB1" w14:textId="77777777" w:rsidR="00505FD3" w:rsidRDefault="00B12884">
      <w:pPr>
        <w:pStyle w:val="ListParagraph"/>
        <w:numPr>
          <w:ilvl w:val="0"/>
          <w:numId w:val="2"/>
        </w:numPr>
        <w:spacing w:after="80" w:line="300" w:lineRule="auto"/>
        <w:jc w:val="both"/>
      </w:pPr>
      <w:r>
        <w:rPr>
          <w:b/>
          <w:bCs/>
        </w:rPr>
        <w:t>TNF:IL-10 ratio</w:t>
      </w:r>
      <w:r>
        <w:t xml:space="preserve"> on day 1 of sepsis differentiates patients destined for early death (high pro-inflammatory load) versus late death (premature anti-inflammatory dominance) </w:t>
      </w:r>
      <w:r>
        <w:rPr>
          <w:color w:val="666666"/>
        </w:rPr>
        <w:t>[1]</w:t>
      </w:r>
      <w:r>
        <w:t>. The same patient population can have similar mortality rates but completely different mechanistic trajectories.</w:t>
      </w:r>
    </w:p>
    <w:p w14:paraId="15BF1B2A" w14:textId="77777777" w:rsidR="00505FD3" w:rsidRDefault="00B12884">
      <w:pPr>
        <w:spacing w:after="160" w:line="300" w:lineRule="auto"/>
        <w:jc w:val="both"/>
      </w:pPr>
      <w:r>
        <w:t>These ratios cannot be computed from a single-biomarker assay. They emerge only from a multiplexed panel measured longitudinally against a personalized baseline.</w:t>
      </w:r>
    </w:p>
    <w:p w14:paraId="5F81E975" w14:textId="77777777" w:rsidR="00505FD3" w:rsidRDefault="00B12884">
      <w:pPr>
        <w:pStyle w:val="Heading1"/>
        <w:spacing w:before="360" w:after="160"/>
      </w:pPr>
      <w:r>
        <w:t>3. Cytokine Signatures by Clinical State</w:t>
      </w:r>
    </w:p>
    <w:p w14:paraId="15E6071F" w14:textId="77777777" w:rsidR="00505FD3" w:rsidRDefault="00B12884">
      <w:pPr>
        <w:spacing w:after="160" w:line="300" w:lineRule="auto"/>
        <w:jc w:val="both"/>
      </w:pPr>
      <w:r>
        <w:t>The following sections describe the cytokine trajectories that the Biomarkr simulator generates for seven clinical states. Each signature is grounded in published longitudinal cytokine kinetics studies. The trajectories shown in the simulator are qualitative and schematic, but the relative timing, ordering, and direction of changes reflect the published data.</w:t>
      </w:r>
    </w:p>
    <w:p w14:paraId="34ABED08" w14:textId="77777777" w:rsidR="00505FD3" w:rsidRDefault="00B12884">
      <w:pPr>
        <w:pStyle w:val="Heading2"/>
        <w:spacing w:before="280" w:after="120"/>
      </w:pPr>
      <w:r>
        <w:t>3.1 Healthy Reference State</w:t>
      </w:r>
    </w:p>
    <w:p w14:paraId="42B10B4C" w14:textId="77777777" w:rsidR="00505FD3" w:rsidRDefault="00B12884">
      <w:pPr>
        <w:spacing w:after="160" w:line="300" w:lineRule="auto"/>
        <w:jc w:val="both"/>
      </w:pPr>
      <w:r>
        <w:t>In healthy adults, all five cytokines sit within a narrow, stable physiological range. However, three modifiers shift the baseline even in the absence of disease:</w:t>
      </w:r>
    </w:p>
    <w:p w14:paraId="1D0B2FB7" w14:textId="77777777" w:rsidR="00505FD3" w:rsidRDefault="00B12884">
      <w:pPr>
        <w:pStyle w:val="ListParagraph"/>
        <w:numPr>
          <w:ilvl w:val="0"/>
          <w:numId w:val="2"/>
        </w:numPr>
        <w:spacing w:after="80" w:line="300" w:lineRule="auto"/>
        <w:jc w:val="both"/>
      </w:pPr>
      <w:r>
        <w:rPr>
          <w:b/>
          <w:bCs/>
        </w:rPr>
        <w:t>Inflammaging</w:t>
      </w:r>
      <w:r>
        <w:t xml:space="preserve"> raises baseline IL-6, IL-1β, and TNF-α with age. By age 65+, this low-grade chronic inflammation is consistently detectable </w:t>
      </w:r>
      <w:r>
        <w:rPr>
          <w:color w:val="666666"/>
        </w:rPr>
        <w:t>[25, 26]</w:t>
      </w:r>
      <w:r>
        <w:t xml:space="preserve">. IFN-γ production capacity is blunted by immunosenescence </w:t>
      </w:r>
      <w:r>
        <w:rPr>
          <w:color w:val="666666"/>
        </w:rPr>
        <w:t>[27]</w:t>
      </w:r>
      <w:r>
        <w:t>.</w:t>
      </w:r>
    </w:p>
    <w:p w14:paraId="51322F6F" w14:textId="77777777" w:rsidR="00505FD3" w:rsidRDefault="00B12884">
      <w:pPr>
        <w:pStyle w:val="ListParagraph"/>
        <w:numPr>
          <w:ilvl w:val="0"/>
          <w:numId w:val="2"/>
        </w:numPr>
        <w:spacing w:after="80" w:line="300" w:lineRule="auto"/>
        <w:jc w:val="both"/>
      </w:pPr>
      <w:r>
        <w:rPr>
          <w:b/>
          <w:bCs/>
        </w:rPr>
        <w:t>Adipose tissue</w:t>
      </w:r>
      <w:r>
        <w:t xml:space="preserve"> is an active endocrine organ. Obesity (BMI &gt; 30) is associated with elevated baseline IL-6, IL-1β, and TNF-α driven by macrophage infiltration of expanded adipose tissue and adipokine secretion </w:t>
      </w:r>
      <w:r>
        <w:rPr>
          <w:color w:val="666666"/>
        </w:rPr>
        <w:t>[28, 29]</w:t>
      </w:r>
      <w:r>
        <w:t>.</w:t>
      </w:r>
    </w:p>
    <w:p w14:paraId="0D5298C2" w14:textId="77777777" w:rsidR="00505FD3" w:rsidRDefault="00B12884">
      <w:pPr>
        <w:pStyle w:val="ListParagraph"/>
        <w:numPr>
          <w:ilvl w:val="0"/>
          <w:numId w:val="2"/>
        </w:numPr>
        <w:spacing w:after="80" w:line="300" w:lineRule="auto"/>
        <w:jc w:val="both"/>
      </w:pPr>
      <w:r>
        <w:rPr>
          <w:b/>
          <w:bCs/>
        </w:rPr>
        <w:lastRenderedPageBreak/>
        <w:t>Sex</w:t>
      </w:r>
      <w:r>
        <w:t xml:space="preserve"> modulates baseline. Females exhibit stronger IFN-γ and IL-6 responses to immune challenge, partly mediated by estrogen’s immunoenhancing effects, while males show muted IL-17 and IFN-γ production with age, attributable in part to testosterone’s immunosuppressive effects </w:t>
      </w:r>
      <w:r>
        <w:rPr>
          <w:color w:val="666666"/>
        </w:rPr>
        <w:t>[27, 30, 31]</w:t>
      </w:r>
      <w:r>
        <w:t>.</w:t>
      </w:r>
    </w:p>
    <w:p w14:paraId="34BAFF61" w14:textId="77777777" w:rsidR="00505FD3" w:rsidRDefault="00B12884">
      <w:pPr>
        <w:spacing w:after="160" w:line="300" w:lineRule="auto"/>
        <w:jc w:val="both"/>
      </w:pPr>
      <w:r>
        <w:t>These modifiers are why a single universal cytokine reference range is clinically inadequate. A 70-year-old’s baseline IL-6 may overlap with the early-disease range of a 35-year-old. Personalized baselines, established by repeated measurement during health, are foundational to extracting disease signal.</w:t>
      </w:r>
    </w:p>
    <w:p w14:paraId="04E3E8DC" w14:textId="77777777" w:rsidR="00505FD3" w:rsidRDefault="00B12884">
      <w:pPr>
        <w:pStyle w:val="Heading2"/>
        <w:spacing w:before="280" w:after="120"/>
      </w:pPr>
      <w:r>
        <w:t>3.2 Progressing Cancer (Months Timescale)</w:t>
      </w:r>
    </w:p>
    <w:p w14:paraId="3668F160" w14:textId="77777777" w:rsidR="00505FD3" w:rsidRDefault="00B12884">
      <w:pPr>
        <w:spacing w:after="160" w:line="300" w:lineRule="auto"/>
        <w:jc w:val="both"/>
      </w:pPr>
      <w:r>
        <w:t>Cancer creates a chronic, slowly progressive inflammatory state. The CIP trajectories reflect three phases:</w:t>
      </w:r>
    </w:p>
    <w:p w14:paraId="7300C537" w14:textId="77777777" w:rsidR="00505FD3" w:rsidRDefault="00B12884">
      <w:pPr>
        <w:pStyle w:val="ListParagraph"/>
        <w:numPr>
          <w:ilvl w:val="0"/>
          <w:numId w:val="2"/>
        </w:numPr>
        <w:spacing w:after="80" w:line="300" w:lineRule="auto"/>
        <w:jc w:val="both"/>
      </w:pPr>
      <w:r>
        <w:rPr>
          <w:b/>
          <w:bCs/>
        </w:rPr>
        <w:t>Early stage</w:t>
      </w:r>
      <w:r>
        <w:t>: IL-6 rises modestly. IFN-γ is elevated, reflecting active anti-tumor surveillance by NK cells and CD8+ T cells. IL-10 is only minimally increased.</w:t>
      </w:r>
    </w:p>
    <w:p w14:paraId="7F9ACAE9" w14:textId="77777777" w:rsidR="00505FD3" w:rsidRDefault="00B12884">
      <w:pPr>
        <w:pStyle w:val="ListParagraph"/>
        <w:numPr>
          <w:ilvl w:val="0"/>
          <w:numId w:val="2"/>
        </w:numPr>
        <w:spacing w:after="80" w:line="300" w:lineRule="auto"/>
        <w:jc w:val="both"/>
      </w:pPr>
      <w:r>
        <w:rPr>
          <w:b/>
          <w:bCs/>
        </w:rPr>
        <w:t>Mid stage</w:t>
      </w:r>
      <w:r>
        <w:t xml:space="preserve">: IL-6 and IL-10 rise progressively as tumor burden grows. IFN-γ begins to decline as PD-1/PD-L1 signaling and Treg accumulation drive early T-cell exhaustion </w:t>
      </w:r>
      <w:r>
        <w:rPr>
          <w:color w:val="666666"/>
        </w:rPr>
        <w:t>[4, 17, 32]</w:t>
      </w:r>
      <w:r>
        <w:t>. TNF-α plateaus as receptor downregulation produces tolerance.</w:t>
      </w:r>
    </w:p>
    <w:p w14:paraId="70673744" w14:textId="77777777" w:rsidR="00505FD3" w:rsidRDefault="00B12884">
      <w:pPr>
        <w:pStyle w:val="ListParagraph"/>
        <w:numPr>
          <w:ilvl w:val="0"/>
          <w:numId w:val="2"/>
        </w:numPr>
        <w:spacing w:after="80" w:line="300" w:lineRule="auto"/>
        <w:jc w:val="both"/>
      </w:pPr>
      <w:r>
        <w:rPr>
          <w:b/>
          <w:bCs/>
        </w:rPr>
        <w:t>Late stage</w:t>
      </w:r>
      <w:r>
        <w:t xml:space="preserve">: IL-6 and IL-10 are markedly elevated. IFN-γ collapses with full T-cell exhaustion and dominance of myeloid-derived suppressor cells in the tumor microenvironment. IL-6-driven STAT3 activation in skeletal muscle drives cachexia </w:t>
      </w:r>
      <w:r>
        <w:rPr>
          <w:color w:val="666666"/>
        </w:rPr>
        <w:t>[16]</w:t>
      </w:r>
      <w:r>
        <w:t>.</w:t>
      </w:r>
    </w:p>
    <w:p w14:paraId="42C017D3" w14:textId="77777777" w:rsidR="00505FD3" w:rsidRDefault="00B12884">
      <w:pPr>
        <w:spacing w:after="160" w:line="300" w:lineRule="auto"/>
        <w:jc w:val="both"/>
      </w:pPr>
      <w:r>
        <w:t xml:space="preserve">The signature feature is the inversion of the IL-10:IFN-γ ratio over time, a transition from immune-active to immune-exhausted state that meta-analysis confirms predicts worse survival across cancer types </w:t>
      </w:r>
      <w:r>
        <w:rPr>
          <w:color w:val="666666"/>
        </w:rPr>
        <w:t>[3, 13]</w:t>
      </w:r>
      <w:r>
        <w:t>.</w:t>
      </w:r>
    </w:p>
    <w:p w14:paraId="5E5ED7B0" w14:textId="77777777" w:rsidR="00505FD3" w:rsidRDefault="00B12884">
      <w:pPr>
        <w:pStyle w:val="Heading2"/>
        <w:spacing w:before="280" w:after="120"/>
      </w:pPr>
      <w:r>
        <w:t>3.3 Rheumatoid Arthritis Flare (Days Timescale)</w:t>
      </w:r>
    </w:p>
    <w:p w14:paraId="77855333" w14:textId="77777777" w:rsidR="00505FD3" w:rsidRDefault="00B12884">
      <w:pPr>
        <w:spacing w:after="160" w:line="300" w:lineRule="auto"/>
        <w:jc w:val="both"/>
      </w:pPr>
      <w:r>
        <w:t>RA flares are episodic, recurring against an already elevated baseline. Even RA in clinical remission shows above-normal IL-6 and TNF-α. During a flare:</w:t>
      </w:r>
    </w:p>
    <w:p w14:paraId="50D5CAAE" w14:textId="77777777" w:rsidR="00505FD3" w:rsidRDefault="00B12884">
      <w:pPr>
        <w:pStyle w:val="ListParagraph"/>
        <w:numPr>
          <w:ilvl w:val="0"/>
          <w:numId w:val="2"/>
        </w:numPr>
        <w:spacing w:after="80" w:line="300" w:lineRule="auto"/>
        <w:jc w:val="both"/>
      </w:pPr>
      <w:r>
        <w:t>TNF-α rises first (Day 0-1), driven by activation of synovial macrophages and fibroblasts.</w:t>
      </w:r>
    </w:p>
    <w:p w14:paraId="34CD587E" w14:textId="77777777" w:rsidR="00505FD3" w:rsidRDefault="00B12884">
      <w:pPr>
        <w:pStyle w:val="ListParagraph"/>
        <w:numPr>
          <w:ilvl w:val="0"/>
          <w:numId w:val="2"/>
        </w:numPr>
        <w:spacing w:after="80" w:line="300" w:lineRule="auto"/>
        <w:jc w:val="both"/>
      </w:pPr>
      <w:r>
        <w:t>IL-1β follows closely, then IL-6 reaches its highest amplitude (Day 1-2).</w:t>
      </w:r>
    </w:p>
    <w:p w14:paraId="44C8A719" w14:textId="77777777" w:rsidR="00505FD3" w:rsidRDefault="00B12884">
      <w:pPr>
        <w:pStyle w:val="ListParagraph"/>
        <w:numPr>
          <w:ilvl w:val="0"/>
          <w:numId w:val="2"/>
        </w:numPr>
        <w:spacing w:after="80" w:line="300" w:lineRule="auto"/>
        <w:jc w:val="both"/>
      </w:pPr>
      <w:r>
        <w:t>IFN-γ rises modestly, reflecting Th1 involvement in synovitis but a less central role than in Crohn’s.</w:t>
      </w:r>
    </w:p>
    <w:p w14:paraId="60BF554E" w14:textId="77777777" w:rsidR="00505FD3" w:rsidRDefault="00B12884">
      <w:pPr>
        <w:pStyle w:val="ListParagraph"/>
        <w:numPr>
          <w:ilvl w:val="0"/>
          <w:numId w:val="2"/>
        </w:numPr>
        <w:spacing w:after="80" w:line="300" w:lineRule="auto"/>
        <w:jc w:val="both"/>
      </w:pPr>
      <w:r>
        <w:t>IL-10 counter-regulation crests with a 2-3 day lag behind the pro-inflammatory peak.</w:t>
      </w:r>
    </w:p>
    <w:p w14:paraId="27386868" w14:textId="77777777" w:rsidR="00505FD3" w:rsidRDefault="00B12884">
      <w:pPr>
        <w:pStyle w:val="ListParagraph"/>
        <w:numPr>
          <w:ilvl w:val="0"/>
          <w:numId w:val="2"/>
        </w:numPr>
        <w:spacing w:after="80" w:line="300" w:lineRule="auto"/>
        <w:jc w:val="both"/>
      </w:pPr>
      <w:r>
        <w:t>All cytokines return toward (but not to) healthy normal as the flare resolves.</w:t>
      </w:r>
    </w:p>
    <w:p w14:paraId="3A0A13CE" w14:textId="77777777" w:rsidR="00505FD3" w:rsidRDefault="00B12884">
      <w:pPr>
        <w:spacing w:after="160" w:line="300" w:lineRule="auto"/>
        <w:jc w:val="both"/>
      </w:pPr>
      <w:r>
        <w:t xml:space="preserve">This trajectory reflects the well-established TNF-α-driven cytokine hierarchy in RA pathogenesis </w:t>
      </w:r>
      <w:r>
        <w:rPr>
          <w:color w:val="666666"/>
        </w:rPr>
        <w:t>[10, 11, 15]</w:t>
      </w:r>
      <w:r>
        <w:t>. The lag between pro-inflammatory and anti-inflammatory peaks has direct implications for sample timing: the IL-10/pro-inflammatory cytokine ratio differs dramatically depending on whether the sample is taken at peak flare or 2-4 days later.</w:t>
      </w:r>
    </w:p>
    <w:p w14:paraId="2FA69E41" w14:textId="77777777" w:rsidR="00505FD3" w:rsidRDefault="00B12884">
      <w:pPr>
        <w:pStyle w:val="Heading2"/>
        <w:spacing w:before="280" w:after="120"/>
      </w:pPr>
      <w:r>
        <w:lastRenderedPageBreak/>
        <w:t>3.4 Sepsis: Survivor and Fatal Trajectories (Hours Timescale)</w:t>
      </w:r>
    </w:p>
    <w:p w14:paraId="2611E3FB" w14:textId="77777777" w:rsidR="00505FD3" w:rsidRDefault="00B12884">
      <w:pPr>
        <w:spacing w:after="160" w:line="300" w:lineRule="auto"/>
        <w:jc w:val="both"/>
      </w:pPr>
      <w:r>
        <w:t>Sepsis is the most kinetically distinctive condition the CIP measures. The cytokine response unfolds over hours rather than days or months, and the signatures of survivors and non-survivors diverge sharply by 24 hours after onset.</w:t>
      </w:r>
    </w:p>
    <w:p w14:paraId="1763C8C9" w14:textId="77777777" w:rsidR="00505FD3" w:rsidRDefault="00B12884">
      <w:pPr>
        <w:pStyle w:val="Heading3"/>
        <w:spacing w:before="220"/>
      </w:pPr>
      <w:r>
        <w:t>3.4.1 Survivor trajectory</w:t>
      </w:r>
    </w:p>
    <w:p w14:paraId="6A1A8E20" w14:textId="77777777" w:rsidR="00505FD3" w:rsidRDefault="00B12884">
      <w:pPr>
        <w:pStyle w:val="ListParagraph"/>
        <w:numPr>
          <w:ilvl w:val="0"/>
          <w:numId w:val="2"/>
        </w:numPr>
        <w:spacing w:after="80" w:line="300" w:lineRule="auto"/>
        <w:jc w:val="both"/>
      </w:pPr>
      <w:r>
        <w:t>TNF-α peaks earliest (~2-4 hours), then declines rapidly through receptor downregulation. The narrow peak window means a single time-point sample easily misses it.</w:t>
      </w:r>
    </w:p>
    <w:p w14:paraId="17CB49EE" w14:textId="77777777" w:rsidR="00505FD3" w:rsidRDefault="00B12884">
      <w:pPr>
        <w:pStyle w:val="ListParagraph"/>
        <w:numPr>
          <w:ilvl w:val="0"/>
          <w:numId w:val="2"/>
        </w:numPr>
        <w:spacing w:after="80" w:line="300" w:lineRule="auto"/>
        <w:jc w:val="both"/>
      </w:pPr>
      <w:r>
        <w:t xml:space="preserve">IL-1β peaks at 4-6 hours, IL-6 at 6-12 hours. IL-6 has the largest amplitude and longest persistence among the pro-inflammatory cytokines </w:t>
      </w:r>
      <w:r>
        <w:rPr>
          <w:color w:val="666666"/>
        </w:rPr>
        <w:t>[5]</w:t>
      </w:r>
      <w:r>
        <w:t>.</w:t>
      </w:r>
    </w:p>
    <w:p w14:paraId="6CDFDCF1" w14:textId="77777777" w:rsidR="00505FD3" w:rsidRDefault="00B12884">
      <w:pPr>
        <w:pStyle w:val="ListParagraph"/>
        <w:numPr>
          <w:ilvl w:val="0"/>
          <w:numId w:val="2"/>
        </w:numPr>
        <w:spacing w:after="80" w:line="300" w:lineRule="auto"/>
        <w:jc w:val="both"/>
      </w:pPr>
      <w:r>
        <w:t>IFN-γ rises moderately, reflecting NK cell and T-cell engagement.</w:t>
      </w:r>
    </w:p>
    <w:p w14:paraId="632BED34" w14:textId="77777777" w:rsidR="00505FD3" w:rsidRDefault="00B12884">
      <w:pPr>
        <w:pStyle w:val="ListParagraph"/>
        <w:numPr>
          <w:ilvl w:val="0"/>
          <w:numId w:val="2"/>
        </w:numPr>
        <w:spacing w:after="80" w:line="300" w:lineRule="auto"/>
        <w:jc w:val="both"/>
      </w:pPr>
      <w:r>
        <w:t xml:space="preserve">IL-10 peaks at ~24 hours (the CARS phase) </w:t>
      </w:r>
      <w:r>
        <w:rPr>
          <w:color w:val="666666"/>
        </w:rPr>
        <w:t>[6, 22]</w:t>
      </w:r>
      <w:r>
        <w:t>, then declines. This timed counter-regulation, neither too weak nor too sustained, is a defining feature of survival.</w:t>
      </w:r>
    </w:p>
    <w:p w14:paraId="2737D436" w14:textId="77777777" w:rsidR="00505FD3" w:rsidRDefault="00B12884">
      <w:pPr>
        <w:pStyle w:val="ListParagraph"/>
        <w:numPr>
          <w:ilvl w:val="0"/>
          <w:numId w:val="2"/>
        </w:numPr>
        <w:spacing w:after="80" w:line="300" w:lineRule="auto"/>
        <w:jc w:val="both"/>
      </w:pPr>
      <w:r>
        <w:t>By 48-72 hours, all cytokines are returning toward baseline.</w:t>
      </w:r>
    </w:p>
    <w:p w14:paraId="23D4D9CF" w14:textId="77777777" w:rsidR="00505FD3" w:rsidRDefault="00B12884">
      <w:pPr>
        <w:pStyle w:val="Heading3"/>
        <w:spacing w:before="220"/>
      </w:pPr>
      <w:r>
        <w:t>3.4.2 Fatal trajectory</w:t>
      </w:r>
    </w:p>
    <w:p w14:paraId="37B4AAE6" w14:textId="77777777" w:rsidR="00505FD3" w:rsidRDefault="00B12884">
      <w:pPr>
        <w:pStyle w:val="ListParagraph"/>
        <w:numPr>
          <w:ilvl w:val="0"/>
          <w:numId w:val="2"/>
        </w:numPr>
        <w:spacing w:after="80" w:line="300" w:lineRule="auto"/>
        <w:jc w:val="both"/>
      </w:pPr>
      <w:r>
        <w:t xml:space="preserve">Pro-inflammatory cytokines (IL-6, IL-1β) peak higher and, critically, fail to resolve. IL-6 non-resolution at 24 hours is a strong mortality signal </w:t>
      </w:r>
      <w:r>
        <w:rPr>
          <w:color w:val="666666"/>
        </w:rPr>
        <w:t>[2]</w:t>
      </w:r>
      <w:r>
        <w:t>.</w:t>
      </w:r>
    </w:p>
    <w:p w14:paraId="290D0516" w14:textId="77777777" w:rsidR="00505FD3" w:rsidRDefault="00B12884">
      <w:pPr>
        <w:pStyle w:val="ListParagraph"/>
        <w:numPr>
          <w:ilvl w:val="0"/>
          <w:numId w:val="2"/>
        </w:numPr>
        <w:spacing w:after="80" w:line="300" w:lineRule="auto"/>
        <w:jc w:val="both"/>
      </w:pPr>
      <w:r>
        <w:t xml:space="preserve">IFN-γ collapses after the initial spike. The resulting immunoparalysis, characterized by lymphocyte apoptosis, monocyte deactivation, and reduced HLA-DR expression, leaves the patient defenseless against secondary infection </w:t>
      </w:r>
      <w:r>
        <w:rPr>
          <w:color w:val="666666"/>
        </w:rPr>
        <w:t>[6, 18]</w:t>
      </w:r>
      <w:r>
        <w:t>.</w:t>
      </w:r>
    </w:p>
    <w:p w14:paraId="7388D410" w14:textId="77777777" w:rsidR="00505FD3" w:rsidRDefault="00B12884">
      <w:pPr>
        <w:pStyle w:val="ListParagraph"/>
        <w:numPr>
          <w:ilvl w:val="0"/>
          <w:numId w:val="2"/>
        </w:numPr>
        <w:spacing w:after="80" w:line="300" w:lineRule="auto"/>
        <w:jc w:val="both"/>
      </w:pPr>
      <w:r>
        <w:t xml:space="preserve">IL-10 continues to rise rather than peak and resolve. Persistent IL-10 elevation at 48-72 hours is the cardinal feature of CARS-driven immunoparalysis </w:t>
      </w:r>
      <w:r>
        <w:rPr>
          <w:color w:val="666666"/>
        </w:rPr>
        <w:t>[6, 22]</w:t>
      </w:r>
      <w:r>
        <w:t>.</w:t>
      </w:r>
    </w:p>
    <w:p w14:paraId="633C570E" w14:textId="77777777" w:rsidR="00505FD3" w:rsidRDefault="00B12884">
      <w:pPr>
        <w:pStyle w:val="ListParagraph"/>
        <w:numPr>
          <w:ilvl w:val="0"/>
          <w:numId w:val="2"/>
        </w:numPr>
        <w:spacing w:after="80" w:line="300" w:lineRule="auto"/>
        <w:jc w:val="both"/>
      </w:pPr>
      <w:r>
        <w:t xml:space="preserve">The IL-10:IFN-γ crossover (IL-10 rising as IFN-γ falls) is the highest-yield prognostic signal accessible to the CIP and one that no single biomarker can provide </w:t>
      </w:r>
      <w:r>
        <w:rPr>
          <w:color w:val="666666"/>
        </w:rPr>
        <w:t>[1, 2]</w:t>
      </w:r>
      <w:r>
        <w:t>.</w:t>
      </w:r>
    </w:p>
    <w:p w14:paraId="1CE4ADFF" w14:textId="77777777" w:rsidR="00505FD3" w:rsidRDefault="00B12884">
      <w:pPr>
        <w:spacing w:after="160" w:line="300" w:lineRule="auto"/>
        <w:jc w:val="both"/>
      </w:pPr>
      <w:r>
        <w:t xml:space="preserve">The 2016 ProCESS trial trajectory analysis (n = 638 sepsis patients) directly validated this framework: the cluster with rising IL-6 and rising IL-10 between 0 and 6 hours had the highest mortality, and patients with elevated levels of both cytokines and blunted decline had &gt;50% mortality </w:t>
      </w:r>
      <w:r>
        <w:rPr>
          <w:color w:val="666666"/>
        </w:rPr>
        <w:t>[2]</w:t>
      </w:r>
      <w:r>
        <w:t xml:space="preserve">. The TNF:IL-10 ratio on day 1 differentiates patients destined for early death (high ratio) from those destined for late death (low ratio) </w:t>
      </w:r>
      <w:r>
        <w:rPr>
          <w:color w:val="666666"/>
        </w:rPr>
        <w:t>[1]</w:t>
      </w:r>
      <w:r>
        <w:t>, confirming that the same condition can have different mechanistic phenotypes detectable only through multi-cytokine measurement.</w:t>
      </w:r>
    </w:p>
    <w:p w14:paraId="0BF3D76C" w14:textId="77777777" w:rsidR="00505FD3" w:rsidRDefault="00B12884">
      <w:pPr>
        <w:pStyle w:val="Heading2"/>
        <w:spacing w:before="280" w:after="120"/>
      </w:pPr>
      <w:r>
        <w:t>3.5 Inflammatory Bowel Disease / Crohn’s (Weeks Timescale)</w:t>
      </w:r>
    </w:p>
    <w:p w14:paraId="249BFE29" w14:textId="77777777" w:rsidR="00505FD3" w:rsidRDefault="00B12884">
      <w:pPr>
        <w:spacing w:after="160" w:line="300" w:lineRule="auto"/>
        <w:jc w:val="both"/>
      </w:pPr>
      <w:r>
        <w:t xml:space="preserve">IBD differs from the other conditions in three important ways. First, the chronic baseline itself is elevated (×2-2.5 above healthy normal for TNF-α and IFN-γ). Second, Crohn’s is dominated by Th1 and Th17 differentiation, with IFN-γ chronically elevated rather than transiently spiking </w:t>
      </w:r>
      <w:r>
        <w:rPr>
          <w:color w:val="666666"/>
        </w:rPr>
        <w:t>[12]</w:t>
      </w:r>
      <w:r>
        <w:t xml:space="preserve">. Third, the IL-10 </w:t>
      </w:r>
      <w:r>
        <w:lastRenderedPageBreak/>
        <w:t xml:space="preserve">counter-regulatory response is </w:t>
      </w:r>
      <w:r>
        <w:rPr>
          <w:i/>
          <w:iCs/>
        </w:rPr>
        <w:t>insufficient</w:t>
      </w:r>
      <w:r>
        <w:t>. IL-10 levels are not strikingly suppressed in absolute terms, but they are inadequate relative to the pro-inflammatory load.</w:t>
      </w:r>
    </w:p>
    <w:p w14:paraId="0F724004" w14:textId="77777777" w:rsidR="00505FD3" w:rsidRDefault="00B12884">
      <w:pPr>
        <w:spacing w:after="160" w:line="300" w:lineRule="auto"/>
        <w:jc w:val="both"/>
      </w:pPr>
      <w:r>
        <w:t xml:space="preserve">The pathogenic role of IL-10 deficiency in IBD is established beyond inference: IL-10 knockout mice spontaneously develop chronic enterocolitis </w:t>
      </w:r>
      <w:r>
        <w:rPr>
          <w:color w:val="666666"/>
        </w:rPr>
        <w:t>[23, 24]</w:t>
      </w:r>
      <w:r>
        <w:t xml:space="preserve">. In humans with Crohn’s, IL-10 production by lamina propria mononuclear cells from inflamed tissue is significantly lower than from non-inflamed tissue or peripheral blood </w:t>
      </w:r>
      <w:r>
        <w:rPr>
          <w:color w:val="666666"/>
        </w:rPr>
        <w:t>[24]</w:t>
      </w:r>
      <w:r>
        <w:t>.</w:t>
      </w:r>
    </w:p>
    <w:p w14:paraId="2D0E9A1E" w14:textId="77777777" w:rsidR="00505FD3" w:rsidRDefault="00B12884">
      <w:pPr>
        <w:spacing w:after="160" w:line="300" w:lineRule="auto"/>
        <w:jc w:val="both"/>
      </w:pPr>
      <w:r>
        <w:t>During an IBD flare, TNF-α rises further (often to &gt;5× healthy baseline), IFN-γ is sustained, and IL-10 fails to rise commensurately. This signature is the rationale for anti-TNF therapy as first-line biologic treatment in moderate-to-severe Crohn’s.</w:t>
      </w:r>
    </w:p>
    <w:p w14:paraId="243B4160" w14:textId="77777777" w:rsidR="00505FD3" w:rsidRDefault="00B12884">
      <w:pPr>
        <w:pStyle w:val="Heading2"/>
        <w:spacing w:before="280" w:after="120"/>
      </w:pPr>
      <w:r>
        <w:t>3.6 COVID-19 (Days Timescale)</w:t>
      </w:r>
    </w:p>
    <w:p w14:paraId="1047B680" w14:textId="77777777" w:rsidR="00505FD3" w:rsidRDefault="00B12884">
      <w:pPr>
        <w:spacing w:after="160" w:line="300" w:lineRule="auto"/>
        <w:jc w:val="both"/>
      </w:pPr>
      <w:r>
        <w:t xml:space="preserve">COVID-19 cytokine kinetics are distinguishable from bacterial sepsis primarily by the delay in IFN-γ production. SARS-CoV-2 encodes multiple proteins that interfere with type I and type II interferon signaling, suppressing the early antiviral response </w:t>
      </w:r>
      <w:r>
        <w:rPr>
          <w:color w:val="666666"/>
        </w:rPr>
        <w:t>[20, 33]</w:t>
      </w:r>
      <w:r>
        <w:t>. The result is:</w:t>
      </w:r>
    </w:p>
    <w:p w14:paraId="2A310FF0" w14:textId="77777777" w:rsidR="00505FD3" w:rsidRDefault="00B12884">
      <w:pPr>
        <w:pStyle w:val="ListParagraph"/>
        <w:numPr>
          <w:ilvl w:val="0"/>
          <w:numId w:val="2"/>
        </w:numPr>
        <w:spacing w:after="80" w:line="300" w:lineRule="auto"/>
        <w:jc w:val="both"/>
      </w:pPr>
      <w:r>
        <w:t>Early cytokine rise is modest. IL-6 begins climbing around day 5-7.</w:t>
      </w:r>
    </w:p>
    <w:p w14:paraId="373D2FF2" w14:textId="77777777" w:rsidR="00505FD3" w:rsidRDefault="00B12884">
      <w:pPr>
        <w:pStyle w:val="ListParagraph"/>
        <w:numPr>
          <w:ilvl w:val="0"/>
          <w:numId w:val="2"/>
        </w:numPr>
        <w:spacing w:after="80" w:line="300" w:lineRule="auto"/>
        <w:jc w:val="both"/>
      </w:pPr>
      <w:r>
        <w:t>IFN-γ is delayed to day 10-14, in contrast to bacterial infections where it peaks at day 3-5.</w:t>
      </w:r>
    </w:p>
    <w:p w14:paraId="416534E0" w14:textId="77777777" w:rsidR="00505FD3" w:rsidRDefault="00B12884">
      <w:pPr>
        <w:pStyle w:val="ListParagraph"/>
        <w:numPr>
          <w:ilvl w:val="0"/>
          <w:numId w:val="2"/>
        </w:numPr>
        <w:spacing w:after="80" w:line="300" w:lineRule="auto"/>
        <w:jc w:val="both"/>
      </w:pPr>
      <w:r>
        <w:t>IL-6 peaks around day 10, with IL-10 rising in parallel.</w:t>
      </w:r>
    </w:p>
    <w:p w14:paraId="62AA46AC" w14:textId="77777777" w:rsidR="00505FD3" w:rsidRDefault="00B12884">
      <w:pPr>
        <w:pStyle w:val="ListParagraph"/>
        <w:numPr>
          <w:ilvl w:val="0"/>
          <w:numId w:val="2"/>
        </w:numPr>
        <w:spacing w:after="80" w:line="300" w:lineRule="auto"/>
        <w:jc w:val="both"/>
      </w:pPr>
      <w:r>
        <w:t>In severe disease, the cytokine storm produces IL-6 and IL-10 amplitudes resembling bacterial sepsis.</w:t>
      </w:r>
    </w:p>
    <w:p w14:paraId="39661165" w14:textId="77777777" w:rsidR="00505FD3" w:rsidRDefault="00B12884">
      <w:pPr>
        <w:spacing w:after="160" w:line="300" w:lineRule="auto"/>
        <w:jc w:val="both"/>
      </w:pPr>
      <w:r>
        <w:t>The risk window for cytokine storm and clinical decompensation is day 7-12. This is precisely the window where IL-6 antagonist therapy (tocilizumab) was shown to reduce mortality. The CIP therefore offers value not only in detection but in identifying the precise patient and time window where targeted therapy is most likely to benefit.</w:t>
      </w:r>
    </w:p>
    <w:p w14:paraId="1BB63286" w14:textId="77777777" w:rsidR="00505FD3" w:rsidRDefault="00B12884">
      <w:pPr>
        <w:pStyle w:val="Heading1"/>
        <w:spacing w:before="360" w:after="160"/>
      </w:pPr>
      <w:r>
        <w:t>4. Modifying Variables: Personalizing the Signature</w:t>
      </w:r>
    </w:p>
    <w:p w14:paraId="37BD088F" w14:textId="77777777" w:rsidR="00505FD3" w:rsidRDefault="00B12884">
      <w:pPr>
        <w:spacing w:after="160" w:line="300" w:lineRule="auto"/>
        <w:jc w:val="both"/>
      </w:pPr>
      <w:r>
        <w:t>Cytokine trajectories in real patients are not the textbook curves shown in the simulator at default settings. They are shaped by stable patient characteristics that must be understood to interpret a measurement correctly.</w:t>
      </w:r>
    </w:p>
    <w:p w14:paraId="69FE3388" w14:textId="77777777" w:rsidR="00505FD3" w:rsidRDefault="00B12884">
      <w:pPr>
        <w:pStyle w:val="Heading2"/>
        <w:spacing w:before="280" w:after="120"/>
      </w:pPr>
      <w:r>
        <w:t>4.1 Age and Inflammaging</w:t>
      </w:r>
    </w:p>
    <w:p w14:paraId="580BE396" w14:textId="77777777" w:rsidR="00505FD3" w:rsidRDefault="00B12884">
      <w:pPr>
        <w:spacing w:after="160" w:line="300" w:lineRule="auto"/>
        <w:jc w:val="both"/>
      </w:pPr>
      <w:r>
        <w:t xml:space="preserve">Inflammaging, the chronic low-grade inflammatory state of older adults, was first characterized by Franceschi and colleagues at the turn of the millennium </w:t>
      </w:r>
      <w:r>
        <w:rPr>
          <w:color w:val="666666"/>
        </w:rPr>
        <w:t>[26]</w:t>
      </w:r>
      <w:r>
        <w:t xml:space="preserve">. It is now well established that IL-6, TNF-α, and IL-1β baselines rise with age, while IFN-γ production capacity declines (immunosenescence) </w:t>
      </w:r>
      <w:r>
        <w:rPr>
          <w:color w:val="666666"/>
        </w:rPr>
        <w:t>[25, 26, 27]</w:t>
      </w:r>
      <w:r>
        <w:t xml:space="preserve">. The clinical implication is that older patients enter every inflammatory event from a higher baseline </w:t>
      </w:r>
      <w:r>
        <w:lastRenderedPageBreak/>
        <w:t>and with reduced effector capacity. Both factors compound the risk of immunoparalysis in sepsis and explain age-stratified mortality differences across multiple inflammatory conditions.</w:t>
      </w:r>
    </w:p>
    <w:p w14:paraId="5B26E302" w14:textId="77777777" w:rsidR="00505FD3" w:rsidRDefault="00B12884">
      <w:pPr>
        <w:pStyle w:val="Heading2"/>
        <w:spacing w:before="280" w:after="120"/>
      </w:pPr>
      <w:r>
        <w:t>4.2 Sex</w:t>
      </w:r>
    </w:p>
    <w:p w14:paraId="7DDFA4AE" w14:textId="77777777" w:rsidR="00505FD3" w:rsidRDefault="00B12884">
      <w:pPr>
        <w:spacing w:after="160" w:line="300" w:lineRule="auto"/>
        <w:jc w:val="both"/>
      </w:pPr>
      <w:r>
        <w:t xml:space="preserve">Females generally mount stronger immune responses than males. Estrogen enhances dendritic cell activation, B-cell antibody production, and IFN-α production by plasmacytoid dendritic cells, while testosterone exerts a primarily immunosuppressive effect </w:t>
      </w:r>
      <w:r>
        <w:rPr>
          <w:color w:val="666666"/>
        </w:rPr>
        <w:t>[30, 31]</w:t>
      </w:r>
      <w:r>
        <w:t>. Practically, this means females show higher baseline IL-6 and IFN-γ, mount stronger acute responses, and have somewhat better outcomes in sepsis. Males show higher acute TNF-α and faster IFN-γ collapse during fatal sepsis. Conversely, the stronger female immune response correlates with the 3:1 female predominance of RA and other autoimmune diseases.</w:t>
      </w:r>
    </w:p>
    <w:p w14:paraId="07BDA911" w14:textId="77777777" w:rsidR="00505FD3" w:rsidRDefault="00B12884">
      <w:pPr>
        <w:pStyle w:val="Heading2"/>
        <w:spacing w:before="280" w:after="120"/>
      </w:pPr>
      <w:r>
        <w:t>4.3 BMI and Adipose Tissue</w:t>
      </w:r>
    </w:p>
    <w:p w14:paraId="120B9C6A" w14:textId="77777777" w:rsidR="00505FD3" w:rsidRDefault="00B12884">
      <w:pPr>
        <w:spacing w:after="160" w:line="300" w:lineRule="auto"/>
        <w:jc w:val="both"/>
      </w:pPr>
      <w:r>
        <w:t xml:space="preserve">Adipose tissue is an endocrine organ that secretes more than 50 signaling molecules, collectively termed adipokines </w:t>
      </w:r>
      <w:r>
        <w:rPr>
          <w:color w:val="666666"/>
        </w:rPr>
        <w:t>[28]</w:t>
      </w:r>
      <w:r>
        <w:t xml:space="preserve">. In obesity, expanded adipose tissue with macrophage infiltration secretes elevated TNF-α, IL-6, IL-1β, leptin, and resistin, producing a chronic low-grade systemic inflammatory state </w:t>
      </w:r>
      <w:r>
        <w:rPr>
          <w:color w:val="666666"/>
        </w:rPr>
        <w:t>[29, 34]</w:t>
      </w:r>
      <w:r>
        <w:t>. For the CIP, this means that in patients with BMI &gt; 30, the disease signal must be separated from the obesity signal. A baseline IL-6 of 5 pg/mL in a lean patient is markedly different from the same value in a severely obese patient. This is the central case for personalized rather than population-normed referen</w:t>
      </w:r>
      <w:r>
        <w:t>ce ranges.</w:t>
      </w:r>
    </w:p>
    <w:p w14:paraId="627C3A90" w14:textId="77777777" w:rsidR="00505FD3" w:rsidRDefault="00B12884">
      <w:pPr>
        <w:pStyle w:val="Heading2"/>
        <w:spacing w:before="280" w:after="120"/>
      </w:pPr>
      <w:r>
        <w:t>4.4 Treatment Effects</w:t>
      </w:r>
    </w:p>
    <w:p w14:paraId="52DF9F05" w14:textId="77777777" w:rsidR="00505FD3" w:rsidRDefault="00B12884">
      <w:pPr>
        <w:spacing w:after="160" w:line="300" w:lineRule="auto"/>
        <w:jc w:val="both"/>
      </w:pPr>
      <w:r>
        <w:t>Active treatment fundamentally changes the cytokine landscape. Three treatment categories are most relevant to the CIP:</w:t>
      </w:r>
    </w:p>
    <w:p w14:paraId="67E4748E" w14:textId="77777777" w:rsidR="00505FD3" w:rsidRDefault="00B12884">
      <w:pPr>
        <w:pStyle w:val="ListParagraph"/>
        <w:numPr>
          <w:ilvl w:val="0"/>
          <w:numId w:val="2"/>
        </w:numPr>
        <w:spacing w:after="80" w:line="300" w:lineRule="auto"/>
        <w:jc w:val="both"/>
      </w:pPr>
      <w:r>
        <w:rPr>
          <w:b/>
          <w:bCs/>
        </w:rPr>
        <w:t>Anti-TNF biologics</w:t>
      </w:r>
      <w:r>
        <w:t xml:space="preserve"> (adalimumab, infliximab) directly neutralize TNF-α and indirectly suppress downstream IL-6 and IL-1β.</w:t>
      </w:r>
    </w:p>
    <w:p w14:paraId="42586173" w14:textId="77777777" w:rsidR="00505FD3" w:rsidRDefault="00B12884">
      <w:pPr>
        <w:pStyle w:val="ListParagraph"/>
        <w:numPr>
          <w:ilvl w:val="0"/>
          <w:numId w:val="2"/>
        </w:numPr>
        <w:spacing w:after="80" w:line="300" w:lineRule="auto"/>
        <w:jc w:val="both"/>
      </w:pPr>
      <w:r>
        <w:rPr>
          <w:b/>
          <w:bCs/>
        </w:rPr>
        <w:t>Checkpoint inhibitors</w:t>
      </w:r>
      <w:r>
        <w:t xml:space="preserve"> (anti-PD-1, anti-CTLA-4) restore IFN-γ production from exhausted T cells, increasing both anti-tumor effector function and the risk of immune-related adverse events </w:t>
      </w:r>
      <w:r>
        <w:rPr>
          <w:color w:val="666666"/>
        </w:rPr>
        <w:t>[17, 32]</w:t>
      </w:r>
      <w:r>
        <w:t>.</w:t>
      </w:r>
    </w:p>
    <w:p w14:paraId="539F47E7" w14:textId="77777777" w:rsidR="00505FD3" w:rsidRDefault="00B12884">
      <w:pPr>
        <w:pStyle w:val="ListParagraph"/>
        <w:numPr>
          <w:ilvl w:val="0"/>
          <w:numId w:val="2"/>
        </w:numPr>
        <w:spacing w:after="80" w:line="300" w:lineRule="auto"/>
        <w:jc w:val="both"/>
      </w:pPr>
      <w:r>
        <w:rPr>
          <w:b/>
          <w:bCs/>
        </w:rPr>
        <w:t>Corticosteroids</w:t>
      </w:r>
      <w:r>
        <w:t xml:space="preserve"> broadly suppress all five cytokines, often without revealing the underlying disease activity.</w:t>
      </w:r>
    </w:p>
    <w:p w14:paraId="20963B91" w14:textId="77777777" w:rsidR="00505FD3" w:rsidRDefault="00B12884">
      <w:pPr>
        <w:spacing w:after="160" w:line="300" w:lineRule="auto"/>
        <w:jc w:val="both"/>
      </w:pPr>
      <w:r>
        <w:t>Monitoring patients on these therapies represents one of the most commercially relevant CIP applications. A panel that can distinguish therapeutic response from breakthrough disease activity has direct utility in dose adjustment, switching decisions, and detection of secondary failure.</w:t>
      </w:r>
    </w:p>
    <w:p w14:paraId="3E77EA90" w14:textId="77777777" w:rsidR="00505FD3" w:rsidRDefault="00B12884">
      <w:pPr>
        <w:pStyle w:val="Heading1"/>
        <w:spacing w:before="360" w:after="160"/>
      </w:pPr>
      <w:r>
        <w:t>5. Implications for Clinical Use</w:t>
      </w:r>
    </w:p>
    <w:p w14:paraId="196E7BB1" w14:textId="77777777" w:rsidR="00505FD3" w:rsidRDefault="00B12884">
      <w:pPr>
        <w:spacing w:after="160" w:line="300" w:lineRule="auto"/>
        <w:jc w:val="both"/>
      </w:pPr>
      <w:r>
        <w:lastRenderedPageBreak/>
        <w:t>The biology of the CIP supports five clinical use cases where multiplexed, longitudinal cytokine measurement provides information that single-biomarker testing cannot:</w:t>
      </w:r>
    </w:p>
    <w:p w14:paraId="3E8C05ED" w14:textId="77777777" w:rsidR="00505FD3" w:rsidRDefault="00B12884">
      <w:pPr>
        <w:pStyle w:val="ListParagraph"/>
        <w:numPr>
          <w:ilvl w:val="0"/>
          <w:numId w:val="2"/>
        </w:numPr>
        <w:spacing w:after="80" w:line="300" w:lineRule="auto"/>
        <w:jc w:val="both"/>
      </w:pPr>
      <w:r>
        <w:rPr>
          <w:b/>
          <w:bCs/>
        </w:rPr>
        <w:t>Sepsis risk stratification</w:t>
      </w:r>
      <w:r>
        <w:t xml:space="preserve"> through the IL-6 trajectory at 24 hours and the IL-10:IFN-γ ratio at 48 hours.</w:t>
      </w:r>
    </w:p>
    <w:p w14:paraId="1CCC19A9" w14:textId="77777777" w:rsidR="00505FD3" w:rsidRDefault="00B12884">
      <w:pPr>
        <w:pStyle w:val="ListParagraph"/>
        <w:numPr>
          <w:ilvl w:val="0"/>
          <w:numId w:val="2"/>
        </w:numPr>
        <w:spacing w:after="80" w:line="300" w:lineRule="auto"/>
        <w:jc w:val="both"/>
      </w:pPr>
      <w:r>
        <w:rPr>
          <w:b/>
          <w:bCs/>
        </w:rPr>
        <w:t>Cancer immune monitoring</w:t>
      </w:r>
      <w:r>
        <w:t xml:space="preserve"> through the IL-10:IFN-γ ratio over months and IL-6 as a marker of tumor burden and cachexia risk.</w:t>
      </w:r>
    </w:p>
    <w:p w14:paraId="5D012396" w14:textId="77777777" w:rsidR="00505FD3" w:rsidRDefault="00B12884">
      <w:pPr>
        <w:pStyle w:val="ListParagraph"/>
        <w:numPr>
          <w:ilvl w:val="0"/>
          <w:numId w:val="2"/>
        </w:numPr>
        <w:spacing w:after="80" w:line="300" w:lineRule="auto"/>
        <w:jc w:val="both"/>
      </w:pPr>
      <w:r>
        <w:rPr>
          <w:b/>
          <w:bCs/>
        </w:rPr>
        <w:t>Inflammatory disease activity tracking</w:t>
      </w:r>
      <w:r>
        <w:t xml:space="preserve"> (RA, IBD) through baseline and flare cycle measurement, with anti-TNF response detectable as direct cytokine suppression.</w:t>
      </w:r>
    </w:p>
    <w:p w14:paraId="0FBF1E5E" w14:textId="77777777" w:rsidR="00505FD3" w:rsidRDefault="00B12884">
      <w:pPr>
        <w:pStyle w:val="ListParagraph"/>
        <w:numPr>
          <w:ilvl w:val="0"/>
          <w:numId w:val="2"/>
        </w:numPr>
        <w:spacing w:after="80" w:line="300" w:lineRule="auto"/>
        <w:jc w:val="both"/>
      </w:pPr>
      <w:r>
        <w:rPr>
          <w:b/>
          <w:bCs/>
        </w:rPr>
        <w:t>Treatment response monitoring</w:t>
      </w:r>
      <w:r>
        <w:t xml:space="preserve"> for biologics, checkpoint inhibitors, and immunosuppressants.</w:t>
      </w:r>
    </w:p>
    <w:p w14:paraId="31FCACB4" w14:textId="77777777" w:rsidR="00505FD3" w:rsidRDefault="00B12884">
      <w:pPr>
        <w:pStyle w:val="ListParagraph"/>
        <w:numPr>
          <w:ilvl w:val="0"/>
          <w:numId w:val="2"/>
        </w:numPr>
        <w:spacing w:after="80" w:line="300" w:lineRule="auto"/>
        <w:jc w:val="both"/>
      </w:pPr>
      <w:r>
        <w:rPr>
          <w:b/>
          <w:bCs/>
        </w:rPr>
        <w:t>Personalized baseline establishment</w:t>
      </w:r>
      <w:r>
        <w:t xml:space="preserve"> through repeated measurement during periods of health, enabling each patient to serve as their own control.</w:t>
      </w:r>
    </w:p>
    <w:p w14:paraId="457A43D7" w14:textId="77777777" w:rsidR="00505FD3" w:rsidRDefault="00B12884">
      <w:pPr>
        <w:spacing w:after="160" w:line="300" w:lineRule="auto"/>
        <w:jc w:val="both"/>
      </w:pPr>
      <w:r>
        <w:t>Each of these depends on three properties of the assay: speed (results within the same clinical encounter), multiplexing (all five cytokines from a single sample), and accessibility (point-of-care or near-patient testing rather than centralized laboratory turnaround). These are the design specifications of Q-SENS.</w:t>
      </w:r>
    </w:p>
    <w:p w14:paraId="7E896FC2" w14:textId="77777777" w:rsidR="00505FD3" w:rsidRDefault="00B12884">
      <w:pPr>
        <w:pStyle w:val="Heading1"/>
        <w:spacing w:before="360" w:after="160"/>
      </w:pPr>
      <w:r>
        <w:t>6. Limitations and Future Directions</w:t>
      </w:r>
    </w:p>
    <w:p w14:paraId="799171D0" w14:textId="77777777" w:rsidR="00505FD3" w:rsidRDefault="00B12884">
      <w:pPr>
        <w:spacing w:after="160" w:line="300" w:lineRule="auto"/>
        <w:jc w:val="both"/>
      </w:pPr>
      <w:r>
        <w:t>The CIP is a high-information panel, but it does not capture every dimension of the immune response. Three limitations deserve explicit acknowledgment:</w:t>
      </w:r>
    </w:p>
    <w:p w14:paraId="5BC84101" w14:textId="77777777" w:rsidR="00505FD3" w:rsidRDefault="00B12884">
      <w:pPr>
        <w:pStyle w:val="ListParagraph"/>
        <w:numPr>
          <w:ilvl w:val="0"/>
          <w:numId w:val="2"/>
        </w:numPr>
        <w:spacing w:after="80" w:line="300" w:lineRule="auto"/>
        <w:jc w:val="both"/>
      </w:pPr>
      <w:r>
        <w:rPr>
          <w:b/>
          <w:bCs/>
        </w:rPr>
        <w:t>Five cytokines is a starting point.</w:t>
      </w:r>
      <w:r>
        <w:t xml:space="preserve"> IL-17 (Th17 axis), IL-12/IL-23 (Th1/Th17 polarization), TGF-β (regulatory function), and chemokines such as IL-8 and MCP-1 add information that the current panel does not capture. The Q-SENS platform can accommodate panel expansion without hardware change.</w:t>
      </w:r>
    </w:p>
    <w:p w14:paraId="2C72BABA" w14:textId="77777777" w:rsidR="00505FD3" w:rsidRDefault="00B12884">
      <w:pPr>
        <w:pStyle w:val="ListParagraph"/>
        <w:numPr>
          <w:ilvl w:val="0"/>
          <w:numId w:val="2"/>
        </w:numPr>
        <w:spacing w:after="80" w:line="300" w:lineRule="auto"/>
        <w:jc w:val="both"/>
      </w:pPr>
      <w:r>
        <w:rPr>
          <w:b/>
          <w:bCs/>
        </w:rPr>
        <w:t>Serum cytokines reflect circulating, not tissue-resident immunity.</w:t>
      </w:r>
      <w:r>
        <w:t xml:space="preserve"> For some conditions (RA synovitis, Crohn’s mucosal inflammation, tumor microenvironment), the local cytokine milieu may differ substantially from the systemic signal. Serum measurement is informative but incomplete.</w:t>
      </w:r>
    </w:p>
    <w:p w14:paraId="4872329C" w14:textId="77777777" w:rsidR="00505FD3" w:rsidRDefault="00B12884">
      <w:pPr>
        <w:pStyle w:val="ListParagraph"/>
        <w:numPr>
          <w:ilvl w:val="0"/>
          <w:numId w:val="2"/>
        </w:numPr>
        <w:spacing w:after="80" w:line="300" w:lineRule="auto"/>
        <w:jc w:val="both"/>
      </w:pPr>
      <w:r>
        <w:rPr>
          <w:b/>
          <w:bCs/>
        </w:rPr>
        <w:t>Causality is not directly observable.</w:t>
      </w:r>
      <w:r>
        <w:t xml:space="preserve"> A given cytokine pattern can be the cause, the consequence, or the marker of a clinical state. Interpretation requires integration with clinical context, and the simulator’s qualitative trajectories should not be over-interpreted as direct biological measurements.</w:t>
      </w:r>
    </w:p>
    <w:p w14:paraId="600C579F" w14:textId="77777777" w:rsidR="00505FD3" w:rsidRDefault="00B12884">
      <w:pPr>
        <w:spacing w:after="160" w:line="300" w:lineRule="auto"/>
        <w:jc w:val="both"/>
      </w:pPr>
      <w:r>
        <w:t>Future development of the CIP will focus on (1) additional panel members for specific clinical indications, (2) integration with other point-of-care biomarkers (CRP, procalcitonin, lactate), and (3) algorithmic interpretation that takes patient context (age, sex, BMI, treatment, prior baselines) into account when generating reference ranges and trajectory expectations.</w:t>
      </w:r>
    </w:p>
    <w:p w14:paraId="548A5D81" w14:textId="77777777" w:rsidR="00505FD3" w:rsidRDefault="00B12884">
      <w:pPr>
        <w:pStyle w:val="Heading1"/>
        <w:spacing w:before="360" w:after="160"/>
      </w:pPr>
      <w:r>
        <w:lastRenderedPageBreak/>
        <w:t>7. Conclusion</w:t>
      </w:r>
    </w:p>
    <w:p w14:paraId="5B320989" w14:textId="77777777" w:rsidR="00505FD3" w:rsidRDefault="00B12884">
      <w:pPr>
        <w:spacing w:after="160" w:line="300" w:lineRule="auto"/>
        <w:jc w:val="both"/>
      </w:pPr>
      <w:r>
        <w:t>The five cytokines of the Q-SENS Core Inflammation Panel were selected to capture the four fundamental axes of the immune response: innate initiation, systemic amplification, adaptive effector function, and counter-regulation. Together, they provide diagnostic information that no single biomarker can replicate. The clinical states detailed in this paper, healthy reference, cancer, RA, sepsis (survivor and fatal), IBD, and COVID-19, each produce a distinct and reproducible cytokine signature documented in pu</w:t>
      </w:r>
      <w:r>
        <w:t>blished longitudinal studies. The Biomarkr simulator visualizes these signatures qualitatively; this white paper provides the underlying evidence.</w:t>
      </w:r>
    </w:p>
    <w:p w14:paraId="29A4A749" w14:textId="77777777" w:rsidR="00505FD3" w:rsidRDefault="00B12884">
      <w:pPr>
        <w:spacing w:after="160" w:line="300" w:lineRule="auto"/>
        <w:jc w:val="both"/>
      </w:pPr>
      <w:r>
        <w:t>The case for the CIP is not that any single cytokine is novel. Each has been studied for decades. The case is that measuring all five, longitudinally, against a personalized baseline, transforms a static snapshot into a dynamic trajectory and unlocks the ratio-based and time-based signals that the literature has identified as the most prognostically informative outputs available from blood-based inflammation assessment.</w:t>
      </w:r>
    </w:p>
    <w:p w14:paraId="2CB25F2E" w14:textId="77777777" w:rsidR="00505FD3" w:rsidRDefault="00B12884">
      <w:pPr>
        <w:pStyle w:val="Heading1"/>
        <w:spacing w:before="360" w:after="160"/>
      </w:pPr>
      <w:r>
        <w:t>References</w:t>
      </w:r>
    </w:p>
    <w:p w14:paraId="51FA4260" w14:textId="77777777" w:rsidR="00505FD3" w:rsidRDefault="00B12884">
      <w:pPr>
        <w:spacing w:after="100" w:line="280" w:lineRule="auto"/>
        <w:ind w:left="480" w:hanging="480"/>
      </w:pPr>
      <w:r>
        <w:t xml:space="preserve">1. </w:t>
      </w:r>
      <w:r>
        <w:t>Gogos CA, Drosou E, Bassaris HP, Skoutelis A. Pro-versus anti-inflammatory cytokine profile in patients with severe sepsis: a marker for prognosis and future therapeutic options. J Infect Dis. 2000;181:176-180. (Replicated and discussed in: Tamayo E, et al. Pro- and anti-inflammatory responses are regulated simultaneously from the first moments of septic shock. Eur Cytokine Netw. 2011;22:82-87.)</w:t>
      </w:r>
    </w:p>
    <w:p w14:paraId="08D12E7A" w14:textId="77777777" w:rsidR="00505FD3" w:rsidRDefault="00B12884">
      <w:pPr>
        <w:spacing w:after="100" w:line="280" w:lineRule="auto"/>
        <w:ind w:left="480" w:hanging="480"/>
      </w:pPr>
      <w:r>
        <w:t xml:space="preserve">2. </w:t>
      </w:r>
      <w:r>
        <w:t>Kellum JA, Kong L, Fink MP, et al. Understanding the inflammatory cytokine response in pneumonia and sepsis: results of the Genetic and Inflammatory Markers of Sepsis (GenIMS) study. Arch Intern Med. 2007;167:1655-1663. Also: Chen J, et al. Sepsis Endotypes Defined By Cytokine Trajectory Analysis. ProCESS trial. PMC4796721.</w:t>
      </w:r>
    </w:p>
    <w:p w14:paraId="5BF0AA60" w14:textId="77777777" w:rsidR="00505FD3" w:rsidRDefault="00B12884">
      <w:pPr>
        <w:spacing w:after="100" w:line="280" w:lineRule="auto"/>
        <w:ind w:left="480" w:hanging="480"/>
      </w:pPr>
      <w:r>
        <w:t xml:space="preserve">3. </w:t>
      </w:r>
      <w:r>
        <w:t>Zhao S, Wu D, Wu P, et al. Serum IL-10 Predicts Worse Outcome in Cancer Patients: A Meta-Analysis. PLoS ONE. 2015;10:e0139598. PMC4595202.</w:t>
      </w:r>
    </w:p>
    <w:p w14:paraId="3AC51D96" w14:textId="77777777" w:rsidR="00505FD3" w:rsidRDefault="00B12884">
      <w:pPr>
        <w:spacing w:after="100" w:line="280" w:lineRule="auto"/>
        <w:ind w:left="480" w:hanging="480"/>
      </w:pPr>
      <w:r>
        <w:t xml:space="preserve">4. </w:t>
      </w:r>
      <w:r>
        <w:t>Gocher AM, Workman CJ, Vignali DAA. Interferon-γ: teammate or opponent in the tumor microenvironment? Nat Rev Immunol. 2022;22:158-172. See also: PMC12598110 (IFN-γ dual roles in TME).</w:t>
      </w:r>
    </w:p>
    <w:p w14:paraId="370CCEDF" w14:textId="77777777" w:rsidR="00505FD3" w:rsidRDefault="00B12884">
      <w:pPr>
        <w:spacing w:after="100" w:line="280" w:lineRule="auto"/>
        <w:ind w:left="480" w:hanging="480"/>
      </w:pPr>
      <w:r>
        <w:t xml:space="preserve">5. </w:t>
      </w:r>
      <w:r>
        <w:t>Damas P, Reuter A, Gysen P, et al. Cytokine serum level during severe sepsis in human IL-6 as a marker of severity. Ann Surg. 1992;215:356-362. Reviewed in: Ertel W, Friedl HP, Trentz O. Time course of cytokine levels in sepsis. Intensive Care Med. 1996;22:S447-S450.</w:t>
      </w:r>
    </w:p>
    <w:p w14:paraId="01691084" w14:textId="77777777" w:rsidR="00505FD3" w:rsidRDefault="00B12884">
      <w:pPr>
        <w:spacing w:after="100" w:line="280" w:lineRule="auto"/>
        <w:ind w:left="480" w:hanging="480"/>
      </w:pPr>
      <w:r>
        <w:t xml:space="preserve">6. </w:t>
      </w:r>
      <w:r>
        <w:t>Hotchkiss RS, Monneret G, Payen D. Sepsis-induced immunosuppression: from cellular dysfunctions to immunotherapy. Nat Rev Immunol. 2013;13:862-874. See also: Ward NS, Casserly B, Ayala A. The compensatory anti-inflammatory response syndrome (CARS) in critically ill patients. Clin Chest Med. 2008;29:617-625. PMC2786900.</w:t>
      </w:r>
    </w:p>
    <w:p w14:paraId="36AB40B7" w14:textId="77777777" w:rsidR="00505FD3" w:rsidRDefault="00B12884">
      <w:pPr>
        <w:spacing w:after="100" w:line="280" w:lineRule="auto"/>
        <w:ind w:left="480" w:hanging="480"/>
      </w:pPr>
      <w:r>
        <w:t xml:space="preserve">7. </w:t>
      </w:r>
      <w:r>
        <w:t>Akira S, Uematsu S, Takeuchi O. Pathogen recognition and innate immunity. Cell. 2006;124:783-801.</w:t>
      </w:r>
    </w:p>
    <w:p w14:paraId="62DE7F20" w14:textId="77777777" w:rsidR="00505FD3" w:rsidRDefault="00B12884">
      <w:pPr>
        <w:spacing w:after="100" w:line="280" w:lineRule="auto"/>
        <w:ind w:left="480" w:hanging="480"/>
      </w:pPr>
      <w:r>
        <w:lastRenderedPageBreak/>
        <w:t xml:space="preserve">8. </w:t>
      </w:r>
      <w:r>
        <w:t>Latz E, Xiao TS, Stutz A. Activation and regulation of the inflammasomes. Nat Rev Immunol. 2013;13:397-411.</w:t>
      </w:r>
    </w:p>
    <w:p w14:paraId="0CBFE158" w14:textId="77777777" w:rsidR="00505FD3" w:rsidRDefault="00B12884">
      <w:pPr>
        <w:spacing w:after="100" w:line="280" w:lineRule="auto"/>
        <w:ind w:left="480" w:hanging="480"/>
      </w:pPr>
      <w:r>
        <w:t xml:space="preserve">9. </w:t>
      </w:r>
      <w:r>
        <w:t>Brennan FM, McInnes IB. Evidence that cytokines play a role in rheumatoid arthritis. J Clin Invest. 2008;118:3537-3545.</w:t>
      </w:r>
    </w:p>
    <w:p w14:paraId="3834A3F8" w14:textId="77777777" w:rsidR="00505FD3" w:rsidRDefault="00B12884">
      <w:pPr>
        <w:spacing w:after="100" w:line="280" w:lineRule="auto"/>
        <w:ind w:left="480" w:hanging="480"/>
      </w:pPr>
      <w:r>
        <w:t xml:space="preserve">10. </w:t>
      </w:r>
      <w:r>
        <w:t>Kondo N, Kuroda T, Kobayashi D. Cytokine Networks in the Pathogenesis of Rheumatoid Arthritis. Int J Mol Sci. 2021;22:10922. PMC8539723.</w:t>
      </w:r>
    </w:p>
    <w:p w14:paraId="56832102" w14:textId="77777777" w:rsidR="00505FD3" w:rsidRDefault="00B12884">
      <w:pPr>
        <w:spacing w:after="100" w:line="280" w:lineRule="auto"/>
        <w:ind w:left="480" w:hanging="480"/>
      </w:pPr>
      <w:r>
        <w:t xml:space="preserve">11. </w:t>
      </w:r>
      <w:r>
        <w:t>Kalliolias GD, Ivashkiv LB. TNF biology, pathogenic mechanisms and emerging therapeutic strategies. Nat Rev Rheumatol. 2016;12:49-62.</w:t>
      </w:r>
    </w:p>
    <w:p w14:paraId="7F96213D" w14:textId="77777777" w:rsidR="00505FD3" w:rsidRDefault="00B12884">
      <w:pPr>
        <w:spacing w:after="100" w:line="280" w:lineRule="auto"/>
        <w:ind w:left="480" w:hanging="480"/>
      </w:pPr>
      <w:r>
        <w:t xml:space="preserve">12. </w:t>
      </w:r>
      <w:r>
        <w:t>Strober W, Fuss IJ. Pro-Inflammatory Cytokines in the Pathogenesis of IBD. Gastroenterology. 2011;140:1756-1767. PMC3773507.</w:t>
      </w:r>
    </w:p>
    <w:p w14:paraId="3D86275B" w14:textId="77777777" w:rsidR="00505FD3" w:rsidRDefault="00B12884">
      <w:pPr>
        <w:spacing w:after="100" w:line="280" w:lineRule="auto"/>
        <w:ind w:left="480" w:hanging="480"/>
      </w:pPr>
      <w:r>
        <w:t xml:space="preserve">13. </w:t>
      </w:r>
      <w:r>
        <w:t>Lippitz BE, Harris RA. Cytokine patterns in cancer patients: A review of the correlation between interleukin 6 and prognosis. Oncoimmunology. 2016;5:e1093722. PMC4910721.</w:t>
      </w:r>
    </w:p>
    <w:p w14:paraId="5EA0B42F" w14:textId="77777777" w:rsidR="00505FD3" w:rsidRDefault="00B12884">
      <w:pPr>
        <w:spacing w:after="100" w:line="280" w:lineRule="auto"/>
        <w:ind w:left="480" w:hanging="480"/>
      </w:pPr>
      <w:r>
        <w:t xml:space="preserve">14. </w:t>
      </w:r>
      <w:r>
        <w:t>Chen MF, Lin PY, Wu CF, Chen WC, Wu CT. IL-6 expression regulates tumorigenicity and correlates with prognosis in bladder cancer. PLoS ONE. 2013. (Representative of the broad solid-tumor IL-6 prognosis literature.)</w:t>
      </w:r>
    </w:p>
    <w:p w14:paraId="562D5F04" w14:textId="77777777" w:rsidR="00505FD3" w:rsidRDefault="00B12884">
      <w:pPr>
        <w:spacing w:after="100" w:line="280" w:lineRule="auto"/>
        <w:ind w:left="480" w:hanging="480"/>
      </w:pPr>
      <w:r>
        <w:t xml:space="preserve">15. </w:t>
      </w:r>
      <w:r>
        <w:t>McInnes IB, Schett G. Cytokines in the pathogenesis of rheumatoid arthritis. Nat Rev Immunol. 2007;7:429-442.</w:t>
      </w:r>
    </w:p>
    <w:p w14:paraId="25A30488" w14:textId="77777777" w:rsidR="00505FD3" w:rsidRDefault="00B12884">
      <w:pPr>
        <w:spacing w:after="100" w:line="280" w:lineRule="auto"/>
        <w:ind w:left="480" w:hanging="480"/>
      </w:pPr>
      <w:r>
        <w:t xml:space="preserve">16. </w:t>
      </w:r>
      <w:r>
        <w:t>Bonetto A, Aydogdu T, Kunzevitzky N, et al. STAT3 Activation in Skeletal Muscle Links Muscle Wasting and the Acute Phase Response in Cancer Cachexia. PLoS ONE. 2011;6:e22538. PMC3140523.</w:t>
      </w:r>
    </w:p>
    <w:p w14:paraId="79F19458" w14:textId="77777777" w:rsidR="00505FD3" w:rsidRDefault="00B12884">
      <w:pPr>
        <w:spacing w:after="100" w:line="280" w:lineRule="auto"/>
        <w:ind w:left="480" w:hanging="480"/>
      </w:pPr>
      <w:r>
        <w:t xml:space="preserve">17. </w:t>
      </w:r>
      <w:r>
        <w:t>Wherry EJ, Kurachi M. Molecular and cellular insights into T cell exhaustion. Nat Rev Immunol. 2015;15:486-499.</w:t>
      </w:r>
    </w:p>
    <w:p w14:paraId="43D4E3FD" w14:textId="77777777" w:rsidR="00505FD3" w:rsidRDefault="00B12884">
      <w:pPr>
        <w:spacing w:after="100" w:line="280" w:lineRule="auto"/>
        <w:ind w:left="480" w:hanging="480"/>
      </w:pPr>
      <w:r>
        <w:t xml:space="preserve">18. </w:t>
      </w:r>
      <w:r>
        <w:t>Döcke WD, Randow F, Syrbe U, et al. Monocyte deactivation in septic patients: restoration by IFN-gamma treatment. Nat Med. 1997;3:678-681.</w:t>
      </w:r>
    </w:p>
    <w:p w14:paraId="593B29AA" w14:textId="77777777" w:rsidR="00505FD3" w:rsidRDefault="00B12884">
      <w:pPr>
        <w:spacing w:after="100" w:line="280" w:lineRule="auto"/>
        <w:ind w:left="480" w:hanging="480"/>
      </w:pPr>
      <w:r>
        <w:t xml:space="preserve">19. </w:t>
      </w:r>
      <w:r>
        <w:t>Hadjadj J, Yatim N, Barnabéi L, et al. Impaired type I interferon activity and inflammatory responses in severe COVID-19 patients. Science. 2020;369:718-724.</w:t>
      </w:r>
    </w:p>
    <w:p w14:paraId="4DBA46E8" w14:textId="77777777" w:rsidR="00505FD3" w:rsidRDefault="00B12884">
      <w:pPr>
        <w:spacing w:after="100" w:line="280" w:lineRule="auto"/>
        <w:ind w:left="480" w:hanging="480"/>
      </w:pPr>
      <w:r>
        <w:t xml:space="preserve">20. </w:t>
      </w:r>
      <w:r>
        <w:t>Karki R, Sharma BR, Tuladhar S, et al. Synergism of TNF-α and IFN-γ Triggers Inflammatory Cell Death, Tissue Damage, and Mortality in SARS-CoV-2 Infection and Cytokine Shock Syndromes. Cell. 2021;184:149-168.</w:t>
      </w:r>
    </w:p>
    <w:p w14:paraId="7E3F1E8D" w14:textId="77777777" w:rsidR="00505FD3" w:rsidRDefault="00B12884">
      <w:pPr>
        <w:spacing w:after="100" w:line="280" w:lineRule="auto"/>
        <w:ind w:left="480" w:hanging="480"/>
      </w:pPr>
      <w:r>
        <w:t xml:space="preserve">21. </w:t>
      </w:r>
      <w:r>
        <w:t>Saraiva M, O’Garra A. The regulation of IL-10 production by immune cells. Nat Rev Immunol. 2010;10:170-181.</w:t>
      </w:r>
    </w:p>
    <w:p w14:paraId="5683F31E" w14:textId="77777777" w:rsidR="00505FD3" w:rsidRDefault="00B12884">
      <w:pPr>
        <w:spacing w:after="100" w:line="280" w:lineRule="auto"/>
        <w:ind w:left="480" w:hanging="480"/>
      </w:pPr>
      <w:r>
        <w:t xml:space="preserve">22. </w:t>
      </w:r>
      <w:r>
        <w:t>Boomer JS, To K, Chang KC, et al. Immunosuppression in patients who die of sepsis and multiple organ failure. JAMA. 2011;306:2594-2605.</w:t>
      </w:r>
    </w:p>
    <w:p w14:paraId="1F12B552" w14:textId="77777777" w:rsidR="00505FD3" w:rsidRDefault="00B12884">
      <w:pPr>
        <w:spacing w:after="100" w:line="280" w:lineRule="auto"/>
        <w:ind w:left="480" w:hanging="480"/>
      </w:pPr>
      <w:r>
        <w:t xml:space="preserve">23. </w:t>
      </w:r>
      <w:r>
        <w:t>Kühn R, Löhler J, Rennick D, Rajewsky K, Müller W. Interleukin-10-deficient mice develop chronic enterocolitis. Cell. 1993;75:263-274.</w:t>
      </w:r>
    </w:p>
    <w:p w14:paraId="2BC2C216" w14:textId="77777777" w:rsidR="00505FD3" w:rsidRDefault="00B12884">
      <w:pPr>
        <w:spacing w:after="100" w:line="280" w:lineRule="auto"/>
        <w:ind w:left="480" w:hanging="480"/>
      </w:pPr>
      <w:r>
        <w:lastRenderedPageBreak/>
        <w:t xml:space="preserve">24. </w:t>
      </w:r>
      <w:r>
        <w:t>Melgar S, Yeung MM, Bas A, et al. Over-expression of interleukin 10 in mucosal T cells of patients with active ulcerative colitis. Clin Exp Immunol. 2003;134:127-137. See also: Schreiber S, et al. IL-10 secretion and sensitivity in normal human intestine and inflammatory bowel disease. PMID 11051278.</w:t>
      </w:r>
    </w:p>
    <w:p w14:paraId="699CA1C7" w14:textId="77777777" w:rsidR="00505FD3" w:rsidRDefault="00B12884">
      <w:pPr>
        <w:spacing w:after="100" w:line="280" w:lineRule="auto"/>
        <w:ind w:left="480" w:hanging="480"/>
      </w:pPr>
      <w:r>
        <w:t xml:space="preserve">25. </w:t>
      </w:r>
      <w:r>
        <w:t>Franceschi C, Bonafè M, Valensin S, et al. Inflamm-aging: An evolutionary perspective on immunosenescence. Ann N Y Acad Sci. 2000;908:244-254.</w:t>
      </w:r>
    </w:p>
    <w:p w14:paraId="38F73CB0" w14:textId="77777777" w:rsidR="00505FD3" w:rsidRDefault="00B12884">
      <w:pPr>
        <w:spacing w:after="100" w:line="280" w:lineRule="auto"/>
        <w:ind w:left="480" w:hanging="480"/>
      </w:pPr>
      <w:r>
        <w:t xml:space="preserve">26. </w:t>
      </w:r>
      <w:r>
        <w:t>Ferrucci L, Fabbri E. Inflammageing: chronic inflammation in ageing, cardiovascular disease, and frailty. Nat Rev Cardiol. 2018;15:505-522.</w:t>
      </w:r>
    </w:p>
    <w:p w14:paraId="7FE00D44" w14:textId="77777777" w:rsidR="00505FD3" w:rsidRDefault="00B12884">
      <w:pPr>
        <w:spacing w:after="100" w:line="280" w:lineRule="auto"/>
        <w:ind w:left="480" w:hanging="480"/>
      </w:pPr>
      <w:r>
        <w:t xml:space="preserve">27. </w:t>
      </w:r>
      <w:r>
        <w:t>Klein SL, Flanagan KL. Sex differences in immune responses. Nat Rev Immunol. 2016;16:626-638. See also: Hirokawa K, et al. Slower immune system aging in women versus men in the Japanese population. Immun Ageing. 2013;10:19.</w:t>
      </w:r>
    </w:p>
    <w:p w14:paraId="5169E808" w14:textId="77777777" w:rsidR="00505FD3" w:rsidRDefault="00B12884">
      <w:pPr>
        <w:spacing w:after="100" w:line="280" w:lineRule="auto"/>
        <w:ind w:left="480" w:hanging="480"/>
      </w:pPr>
      <w:r>
        <w:t xml:space="preserve">28. </w:t>
      </w:r>
      <w:r>
        <w:t>Ouchi N, Parker JL, Lugus JJ, Walsh K. Adipokines in inflammation and metabolic disease. Nat Rev Immunol. 2011;11:85-97.</w:t>
      </w:r>
    </w:p>
    <w:p w14:paraId="66F75E56" w14:textId="77777777" w:rsidR="00505FD3" w:rsidRDefault="00B12884">
      <w:pPr>
        <w:spacing w:after="100" w:line="280" w:lineRule="auto"/>
        <w:ind w:left="480" w:hanging="480"/>
      </w:pPr>
      <w:r>
        <w:t xml:space="preserve">29. </w:t>
      </w:r>
      <w:r>
        <w:t>Hotamisligil GS. Inflammation, metaflammation and immunometabolic disorders. Nature. 2017;542:177-185.</w:t>
      </w:r>
    </w:p>
    <w:p w14:paraId="3AEAE481" w14:textId="77777777" w:rsidR="00505FD3" w:rsidRDefault="00B12884">
      <w:pPr>
        <w:spacing w:after="100" w:line="280" w:lineRule="auto"/>
        <w:ind w:left="480" w:hanging="480"/>
      </w:pPr>
      <w:r>
        <w:t xml:space="preserve">30. </w:t>
      </w:r>
      <w:r>
        <w:t>Klein SL. Sex influences immune responses to viruses, and efficacy of prophylaxis and treatments for viral diseases. Bioessays. 2012;34:1050-1059.</w:t>
      </w:r>
    </w:p>
    <w:p w14:paraId="604D0BD8" w14:textId="77777777" w:rsidR="00505FD3" w:rsidRDefault="00B12884">
      <w:pPr>
        <w:spacing w:after="100" w:line="280" w:lineRule="auto"/>
        <w:ind w:left="480" w:hanging="480"/>
      </w:pPr>
      <w:r>
        <w:t xml:space="preserve">31. </w:t>
      </w:r>
      <w:r>
        <w:t>Taneja V. Sex Hormones Determine Immune Response. Front Immunol. 2018;9:1931. PMC6131311.</w:t>
      </w:r>
    </w:p>
    <w:p w14:paraId="06CC354A" w14:textId="77777777" w:rsidR="00505FD3" w:rsidRDefault="00B12884">
      <w:pPr>
        <w:spacing w:after="100" w:line="280" w:lineRule="auto"/>
        <w:ind w:left="480" w:hanging="480"/>
      </w:pPr>
      <w:r>
        <w:t xml:space="preserve">32. </w:t>
      </w:r>
      <w:r>
        <w:t>Sharma P, Allison JP. The future of immune checkpoint therapy. Science. 2015;348:56-61.</w:t>
      </w:r>
    </w:p>
    <w:p w14:paraId="632506DC" w14:textId="77777777" w:rsidR="00505FD3" w:rsidRDefault="00B12884">
      <w:pPr>
        <w:spacing w:after="100" w:line="280" w:lineRule="auto"/>
        <w:ind w:left="480" w:hanging="480"/>
      </w:pPr>
      <w:r>
        <w:t xml:space="preserve">33. </w:t>
      </w:r>
      <w:r>
        <w:t>Blanco-Melo D, Nilsson-Payant BE, Liu WC, et al. Imbalanced Host Response to SARS-CoV-2 Drives Development of COVID-19. Cell. 2020;181:1036-1045.</w:t>
      </w:r>
    </w:p>
    <w:p w14:paraId="1E8521DB" w14:textId="77777777" w:rsidR="00505FD3" w:rsidRDefault="00B12884">
      <w:pPr>
        <w:spacing w:after="100" w:line="280" w:lineRule="auto"/>
        <w:ind w:left="480" w:hanging="480"/>
      </w:pPr>
      <w:r>
        <w:t xml:space="preserve">34. </w:t>
      </w:r>
      <w:r>
        <w:t>Lumeng CN, Saltiel AR. Inflammatory links between obesity and metabolic disease. J Clin Invest. 2011;121:2111-2117.</w:t>
      </w:r>
    </w:p>
    <w:p w14:paraId="747092AA" w14:textId="77777777" w:rsidR="00505FD3" w:rsidRDefault="00B12884">
      <w:pPr>
        <w:pStyle w:val="Heading1"/>
        <w:spacing w:before="360" w:after="160"/>
      </w:pPr>
      <w:r>
        <w:t>Disclaimer</w:t>
      </w:r>
    </w:p>
    <w:p w14:paraId="1DB7883C" w14:textId="77777777" w:rsidR="00505FD3" w:rsidRDefault="00B12884">
      <w:pPr>
        <w:spacing w:after="160" w:line="300" w:lineRule="auto"/>
        <w:jc w:val="both"/>
      </w:pPr>
      <w:r>
        <w:rPr>
          <w:i/>
          <w:iCs/>
        </w:rPr>
        <w:t xml:space="preserve">The Q-SENS Core Inflammation Panel and the associated simulator are intended for educational, research, and investigational purposes only. They are not currently cleared by the U.S. Food and Drug Administration for clinical diagnosis, treatment, or monitoring decisions. The cytokine trajectories described in this paper are derived from the published scientific literature and represent qualitative, schematic patterns. They are not patient-specific predictions and must not be used to guide individual medical </w:t>
      </w:r>
      <w:r>
        <w:rPr>
          <w:i/>
          <w:iCs/>
        </w:rPr>
        <w:t>decisions. Clinical use of cytokine measurements requires validated reference ranges, regulatory clearance, and integration into established clinical decision frameworks.</w:t>
      </w:r>
    </w:p>
    <w:p w14:paraId="778F5AC9" w14:textId="77777777" w:rsidR="00505FD3" w:rsidRDefault="00B12884">
      <w:pPr>
        <w:spacing w:before="200"/>
        <w:jc w:val="center"/>
      </w:pPr>
      <w:r>
        <w:rPr>
          <w:color w:val="888888"/>
          <w:sz w:val="18"/>
          <w:szCs w:val="18"/>
        </w:rPr>
        <w:t>Biomarkr  |  biomarkr.health  |  info@biomarkr.health</w:t>
      </w:r>
    </w:p>
    <w:p w14:paraId="519ADAF6" w14:textId="77777777" w:rsidR="00505FD3" w:rsidRDefault="00B12884">
      <w:pPr>
        <w:jc w:val="center"/>
      </w:pPr>
      <w:r>
        <w:rPr>
          <w:color w:val="AAAAAA"/>
          <w:sz w:val="16"/>
          <w:szCs w:val="16"/>
        </w:rPr>
        <w:t>© Biomarkr / Proactive Dx, Inc.</w:t>
      </w:r>
    </w:p>
    <w:sectPr w:rsidR="00505FD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19154" w14:textId="77777777" w:rsidR="00B12884" w:rsidRDefault="00B12884">
      <w:r>
        <w:separator/>
      </w:r>
    </w:p>
  </w:endnote>
  <w:endnote w:type="continuationSeparator" w:id="0">
    <w:p w14:paraId="0E0A4E8C" w14:textId="77777777" w:rsidR="00B12884" w:rsidRDefault="00B12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FFC2A" w14:textId="77777777" w:rsidR="00505FD3" w:rsidRDefault="00B12884">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F4EC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F4EC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D0B60" w14:textId="77777777" w:rsidR="00B12884" w:rsidRDefault="00B12884">
      <w:r>
        <w:separator/>
      </w:r>
    </w:p>
  </w:footnote>
  <w:footnote w:type="continuationSeparator" w:id="0">
    <w:p w14:paraId="11BF4DEA" w14:textId="77777777" w:rsidR="00B12884" w:rsidRDefault="00B128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7F5A5" w14:textId="77777777" w:rsidR="00505FD3" w:rsidRDefault="00B12884">
    <w:pPr>
      <w:pBdr>
        <w:bottom w:val="single" w:sz="4" w:space="6" w:color="CCCCCC"/>
      </w:pBdr>
      <w:jc w:val="right"/>
    </w:pPr>
    <w:r>
      <w:rPr>
        <w:color w:val="666666"/>
        <w:sz w:val="18"/>
        <w:szCs w:val="18"/>
      </w:rPr>
      <w:t>Biomarkr  |  Q-SENS Core Inflammation Panel  |  White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13DF2"/>
    <w:multiLevelType w:val="hybridMultilevel"/>
    <w:tmpl w:val="67361912"/>
    <w:lvl w:ilvl="0" w:tplc="10E0A91C">
      <w:start w:val="1"/>
      <w:numFmt w:val="bullet"/>
      <w:lvlText w:val="•"/>
      <w:lvlJc w:val="left"/>
      <w:pPr>
        <w:ind w:left="720" w:hanging="360"/>
      </w:pPr>
    </w:lvl>
    <w:lvl w:ilvl="1" w:tplc="289E90D2">
      <w:start w:val="1"/>
      <w:numFmt w:val="bullet"/>
      <w:lvlText w:val="◦"/>
      <w:lvlJc w:val="left"/>
      <w:pPr>
        <w:ind w:left="1080" w:hanging="360"/>
      </w:pPr>
    </w:lvl>
    <w:lvl w:ilvl="2" w:tplc="7624CCBE">
      <w:numFmt w:val="decimal"/>
      <w:lvlText w:val=""/>
      <w:lvlJc w:val="left"/>
    </w:lvl>
    <w:lvl w:ilvl="3" w:tplc="422CFCEE">
      <w:numFmt w:val="decimal"/>
      <w:lvlText w:val=""/>
      <w:lvlJc w:val="left"/>
    </w:lvl>
    <w:lvl w:ilvl="4" w:tplc="D2C699D2">
      <w:numFmt w:val="decimal"/>
      <w:lvlText w:val=""/>
      <w:lvlJc w:val="left"/>
    </w:lvl>
    <w:lvl w:ilvl="5" w:tplc="A8C070D2">
      <w:numFmt w:val="decimal"/>
      <w:lvlText w:val=""/>
      <w:lvlJc w:val="left"/>
    </w:lvl>
    <w:lvl w:ilvl="6" w:tplc="BC3AAB8E">
      <w:numFmt w:val="decimal"/>
      <w:lvlText w:val=""/>
      <w:lvlJc w:val="left"/>
    </w:lvl>
    <w:lvl w:ilvl="7" w:tplc="DDE40C72">
      <w:numFmt w:val="decimal"/>
      <w:lvlText w:val=""/>
      <w:lvlJc w:val="left"/>
    </w:lvl>
    <w:lvl w:ilvl="8" w:tplc="E9DAD85E">
      <w:numFmt w:val="decimal"/>
      <w:lvlText w:val=""/>
      <w:lvlJc w:val="left"/>
    </w:lvl>
  </w:abstractNum>
  <w:abstractNum w:abstractNumId="1" w15:restartNumberingAfterBreak="0">
    <w:nsid w:val="62A76D06"/>
    <w:multiLevelType w:val="hybridMultilevel"/>
    <w:tmpl w:val="0374B844"/>
    <w:lvl w:ilvl="0" w:tplc="9A7E6BBC">
      <w:start w:val="1"/>
      <w:numFmt w:val="bullet"/>
      <w:lvlText w:val="●"/>
      <w:lvlJc w:val="left"/>
      <w:pPr>
        <w:ind w:left="720" w:hanging="360"/>
      </w:pPr>
    </w:lvl>
    <w:lvl w:ilvl="1" w:tplc="956AAF04">
      <w:start w:val="1"/>
      <w:numFmt w:val="bullet"/>
      <w:lvlText w:val="○"/>
      <w:lvlJc w:val="left"/>
      <w:pPr>
        <w:ind w:left="1440" w:hanging="360"/>
      </w:pPr>
    </w:lvl>
    <w:lvl w:ilvl="2" w:tplc="CB808CA6">
      <w:start w:val="1"/>
      <w:numFmt w:val="bullet"/>
      <w:lvlText w:val="■"/>
      <w:lvlJc w:val="left"/>
      <w:pPr>
        <w:ind w:left="2160" w:hanging="360"/>
      </w:pPr>
    </w:lvl>
    <w:lvl w:ilvl="3" w:tplc="6200F606">
      <w:start w:val="1"/>
      <w:numFmt w:val="bullet"/>
      <w:lvlText w:val="●"/>
      <w:lvlJc w:val="left"/>
      <w:pPr>
        <w:ind w:left="2880" w:hanging="360"/>
      </w:pPr>
    </w:lvl>
    <w:lvl w:ilvl="4" w:tplc="0B7A8FDC">
      <w:start w:val="1"/>
      <w:numFmt w:val="bullet"/>
      <w:lvlText w:val="○"/>
      <w:lvlJc w:val="left"/>
      <w:pPr>
        <w:ind w:left="3600" w:hanging="360"/>
      </w:pPr>
    </w:lvl>
    <w:lvl w:ilvl="5" w:tplc="4D2AB57E">
      <w:start w:val="1"/>
      <w:numFmt w:val="bullet"/>
      <w:lvlText w:val="■"/>
      <w:lvlJc w:val="left"/>
      <w:pPr>
        <w:ind w:left="4320" w:hanging="360"/>
      </w:pPr>
    </w:lvl>
    <w:lvl w:ilvl="6" w:tplc="4E8E2C72">
      <w:start w:val="1"/>
      <w:numFmt w:val="bullet"/>
      <w:lvlText w:val="●"/>
      <w:lvlJc w:val="left"/>
      <w:pPr>
        <w:ind w:left="5040" w:hanging="360"/>
      </w:pPr>
    </w:lvl>
    <w:lvl w:ilvl="7" w:tplc="86B43660">
      <w:start w:val="1"/>
      <w:numFmt w:val="bullet"/>
      <w:lvlText w:val="●"/>
      <w:lvlJc w:val="left"/>
      <w:pPr>
        <w:ind w:left="5760" w:hanging="360"/>
      </w:pPr>
    </w:lvl>
    <w:lvl w:ilvl="8" w:tplc="54C21CAE">
      <w:start w:val="1"/>
      <w:numFmt w:val="bullet"/>
      <w:lvlText w:val="●"/>
      <w:lvlJc w:val="left"/>
      <w:pPr>
        <w:ind w:left="6480" w:hanging="360"/>
      </w:pPr>
    </w:lvl>
  </w:abstractNum>
  <w:num w:numId="1" w16cid:durableId="1105811063">
    <w:abstractNumId w:val="1"/>
    <w:lvlOverride w:ilvl="0">
      <w:startOverride w:val="1"/>
    </w:lvlOverride>
  </w:num>
  <w:num w:numId="2" w16cid:durableId="98573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FD3"/>
    <w:rsid w:val="0000772F"/>
    <w:rsid w:val="000F4EC6"/>
    <w:rsid w:val="00505FD3"/>
    <w:rsid w:val="00B12884"/>
    <w:rsid w:val="00FC61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59B2B"/>
  <w15:docId w15:val="{4295434D-2EF0-4ED6-A094-FC80B5D5D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B0B0B"/>
      <w:sz w:val="36"/>
      <w:szCs w:val="36"/>
    </w:rPr>
  </w:style>
  <w:style w:type="paragraph" w:styleId="Heading2">
    <w:name w:val="heading 2"/>
    <w:uiPriority w:val="9"/>
    <w:unhideWhenUsed/>
    <w:qFormat/>
    <w:pPr>
      <w:spacing w:before="320" w:after="140"/>
      <w:outlineLvl w:val="1"/>
    </w:pPr>
    <w:rPr>
      <w:b/>
      <w:bCs/>
      <w:color w:val="0B0B0B"/>
      <w:sz w:val="28"/>
      <w:szCs w:val="28"/>
    </w:rPr>
  </w:style>
  <w:style w:type="paragraph" w:styleId="Heading3">
    <w:name w:val="heading 3"/>
    <w:uiPriority w:val="9"/>
    <w:unhideWhenUsed/>
    <w:qFormat/>
    <w:pPr>
      <w:spacing w:before="24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4704</Words>
  <Characters>26815</Characters>
  <Application>Microsoft Office Word</Application>
  <DocSecurity>0</DocSecurity>
  <Lines>223</Lines>
  <Paragraphs>62</Paragraphs>
  <ScaleCrop>false</ScaleCrop>
  <Company/>
  <LinksUpToDate>false</LinksUpToDate>
  <CharactersWithSpaces>31457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Cytokine Signatures in Health and Disease — A Q-SENS Core Inflammation Panel White Paper</dc:title>
  <dc:creator>Biomarkr</dc:creator>
  <cp:lastModifiedBy>Reuven Duer</cp:lastModifiedBy>
  <cp:revision>3</cp:revision>
  <dcterms:created xsi:type="dcterms:W3CDTF">2026-05-01T19:26:00Z</dcterms:created>
  <dcterms:modified xsi:type="dcterms:W3CDTF">2026-05-01T19:26:00Z</dcterms:modified>
</cp:coreProperties>
</file>