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B4F8A"/>
          <w:sz w:val="40"/>
          <w:szCs w:val="40"/>
        </w:rPr>
        <w:t xml:space="preserve">The Space Between Flares</w:t>
      </w:r>
    </w:p>
    <w:p>
      <w:pPr>
        <w:pBdr>
          <w:bottom w:val="single" w:color="1B4F8A" w:sz="4" w:space="8"/>
        </w:pBdr>
        <w:spacing w:after="400"/>
      </w:pPr>
      <w:r>
        <w:rPr>
          <w:rFonts w:ascii="Arial" w:cs="Arial" w:eastAsia="Arial" w:hAnsi="Arial"/>
          <w:i/>
          <w:iCs/>
          <w:color w:val="666666"/>
          <w:sz w:val="18"/>
          <w:szCs w:val="18"/>
        </w:rPr>
        <w:t xml:space="preserve">A Patient Vignette  |  Biomarkr Health  |  Q-SENS Real-Time Inflammation Monitoring</w:t>
      </w:r>
    </w:p>
    <w:p>
      <w:pPr>
        <w:spacing w:after="200" w:line="320"/>
      </w:pPr>
      <w:r>
        <w:rPr>
          <w:rFonts w:ascii="Georgia" w:cs="Georgia" w:eastAsia="Georgia" w:hAnsi="Georgia"/>
          <w:sz w:val="24"/>
          <w:szCs w:val="24"/>
        </w:rPr>
        <w:t xml:space="preserve">Maya is 23. She’s finishing her last year of grad school, working part-time, and managing Crohn’s disease — in that order, most days. Some days the order gets rearranged.</w:t>
      </w:r>
    </w:p>
    <w:p>
      <w:pPr>
        <w:spacing w:after="200" w:line="320"/>
      </w:pPr>
      <w:r>
        <w:rPr>
          <w:rFonts w:ascii="Georgia" w:cs="Georgia" w:eastAsia="Georgia" w:hAnsi="Georgia"/>
          <w:sz w:val="24"/>
          <w:szCs w:val="24"/>
        </w:rPr>
        <w:t xml:space="preserve">She was diagnosed at 19, started on mesalamine, failed it. Switched to azathioprine, which helped until it didn’t. Her gastroenterologist started her on adalimumab eighteen months ago. For a while, things were better. Then, three months ago, they weren’t — and by the time Maya knew something was wrong, she was already in the middle of a flare bad enough to cost her a week of class and a shift at work she couldn’t afford to miss.</w:t>
      </w:r>
    </w:p>
    <w:p>
      <w:pPr>
        <w:spacing w:after="360" w:line="320"/>
      </w:pPr>
      <w:r>
        <w:rPr>
          <w:rFonts w:ascii="Georgia" w:cs="Georgia" w:eastAsia="Georgia" w:hAnsi="Georgia"/>
          <w:sz w:val="24"/>
          <w:szCs w:val="24"/>
        </w:rPr>
        <w:t xml:space="preserve">The frustrating part isn’t the disease. It’s the waiting. Every medication change feels like dropping a stone into a well and listening for a splash that might come in six weeks, or eight, or not at all. Her doctor is good. He checks CRP and fecal calprotectin every few months. He adjusts. He watches. But the signal comes late — after the inflammation has already declared itself, after Maya has already cancelled plans, already spent three days near a bathroom, already wondered whether this is just her life now.</w:t>
      </w:r>
    </w:p>
    <w:p>
      <w:pPr>
        <w:pStyle w:val="SectionBreak"/>
      </w:pPr>
      <w:r>
        <w:rPr>
          <w:color w:val="1B4F8A"/>
          <w:sz w:val="24"/>
          <w:szCs w:val="24"/>
        </w:rPr>
        <w:t xml:space="preserve">———</w:t>
      </w:r>
    </w:p>
    <w:p>
      <w:pPr>
        <w:spacing w:after="280" w:before="200" w:line="320"/>
      </w:pPr>
      <w:r>
        <w:rPr>
          <w:rFonts w:ascii="Georgia" w:cs="Georgia" w:eastAsia="Georgia" w:hAnsi="Georgia"/>
          <w:i/>
          <w:iCs/>
          <w:color w:val="1B4F8A"/>
          <w:sz w:val="26"/>
          <w:szCs w:val="26"/>
        </w:rPr>
        <w:t xml:space="preserve">What if the stone made a sound on the way down?</w:t>
      </w:r>
    </w:p>
    <w:p>
      <w:pPr>
        <w:spacing w:after="200" w:line="320"/>
      </w:pPr>
      <w:r>
        <w:rPr>
          <w:rFonts w:ascii="Georgia" w:cs="Georgia" w:eastAsia="Georgia" w:hAnsi="Georgia"/>
          <w:sz w:val="24"/>
          <w:szCs w:val="24"/>
        </w:rPr>
        <w:t xml:space="preserve">Q-SENS measures a five-cytokine panel — IL-6, TNF-α, IL-1β, IL-10, and IFN-γ — from a fingerstick, in ten minutes, at home. Maya does it every Monday morning before her first class. It takes less time than her coffee.</w:t>
      </w:r>
    </w:p>
    <w:p>
      <w:pPr>
        <w:spacing w:after="360" w:line="320"/>
      </w:pPr>
      <w:r>
        <w:rPr>
          <w:rFonts w:ascii="Georgia" w:cs="Georgia" w:eastAsia="Georgia" w:hAnsi="Georgia"/>
          <w:sz w:val="24"/>
          <w:szCs w:val="24"/>
        </w:rPr>
        <w:t xml:space="preserve">Her baseline, established over six stable weeks, becomes her personal reference. Not a population average. Hers.</w:t>
      </w:r>
    </w:p>
    <w:p>
      <w:pPr>
        <w:spacing w:after="200" w:line="320"/>
      </w:pPr>
      <w:r>
        <w:rPr>
          <w:rFonts w:ascii="Georgia" w:cs="Georgia" w:eastAsia="Georgia" w:hAnsi="Georgia"/>
          <w:sz w:val="24"/>
          <w:szCs w:val="24"/>
        </w:rPr>
        <w:t xml:space="preserve">Four weeks into a switch from adalimumab to ustekinumab, her symptoms haven’t changed much. She still feels roughly the same — tired, cautiously optimistic, uncertain. But her weekly cytokine read tells a different story: TNF-α is trending down. IL-10, an anti-inflammatory marker, is quietly climbing. The ratio is shifting in the right direction. Her gastroenterologist, reviewing the trend line in their portal, calls it before either of them expected to: </w:t>
      </w:r>
      <w:r>
        <w:rPr>
          <w:rFonts w:ascii="Georgia" w:cs="Georgia" w:eastAsia="Georgia" w:hAnsi="Georgia"/>
          <w:i/>
          <w:iCs/>
          <w:sz w:val="24"/>
          <w:szCs w:val="24"/>
        </w:rPr>
        <w:t xml:space="preserve">this one’s working.</w:t>
      </w:r>
    </w:p>
    <w:p>
      <w:pPr>
        <w:spacing w:after="360" w:line="320"/>
      </w:pPr>
      <w:r>
        <w:rPr>
          <w:rFonts w:ascii="Georgia" w:cs="Georgia" w:eastAsia="Georgia" w:hAnsi="Georgia"/>
          <w:sz w:val="24"/>
          <w:szCs w:val="24"/>
        </w:rPr>
        <w:t xml:space="preserve">They don’t wait three more months to find out. They know now.</w:t>
      </w:r>
    </w:p>
    <w:p>
      <w:pPr>
        <w:spacing w:after="200" w:line="320"/>
      </w:pPr>
      <w:r>
        <w:rPr>
          <w:rFonts w:ascii="Georgia" w:cs="Georgia" w:eastAsia="Georgia" w:hAnsi="Georgia"/>
          <w:sz w:val="24"/>
          <w:szCs w:val="24"/>
        </w:rPr>
        <w:t xml:space="preserve">Six weeks later, during a stressful stretch of thesis deadlines and a respiratory infection, Maya’s IL-6 spikes on a Tuesday. She’s not symptomatic yet — she feels run down, but that’s the week she’s having. She messages her doctor. They review the trend together. It looks like early immune activation, not a full flare cascade — yet. They adjust her dosing interval. By the following Monday, the number is coming back down.</w:t>
      </w:r>
    </w:p>
    <w:p>
      <w:pPr>
        <w:spacing w:after="360" w:line="320"/>
      </w:pPr>
      <w:r>
        <w:rPr>
          <w:rFonts w:ascii="Georgia" w:cs="Georgia" w:eastAsia="Georgia" w:hAnsi="Georgia"/>
          <w:b/>
          <w:bCs/>
          <w:sz w:val="24"/>
          <w:szCs w:val="24"/>
        </w:rPr>
        <w:t xml:space="preserve">The flare that was building doesn’t fully arrive.</w:t>
      </w:r>
    </w:p>
    <w:p>
      <w:pPr>
        <w:pStyle w:val="SectionBreak"/>
      </w:pPr>
      <w:r>
        <w:rPr>
          <w:color w:val="1B4F8A"/>
          <w:sz w:val="24"/>
          <w:szCs w:val="24"/>
        </w:rPr>
        <w:t xml:space="preserve">———</w:t>
      </w:r>
    </w:p>
    <w:p>
      <w:pPr>
        <w:spacing w:after="200" w:before="200" w:line="320"/>
      </w:pPr>
      <w:r>
        <w:rPr>
          <w:rFonts w:ascii="Georgia" w:cs="Georgia" w:eastAsia="Georgia" w:hAnsi="Georgia"/>
          <w:sz w:val="24"/>
          <w:szCs w:val="24"/>
        </w:rPr>
        <w:t xml:space="preserve">Maya still has Crohn’s. That part doesn’t change. But the experience of managing it changes substantially when the data arrives before the crisis does — when medication decisions are grounded in objective immune signal rather than symptom recall, when she’s a participant in her own care rather than a passenger waiting to find out what her body decided.</w:t>
      </w:r>
    </w:p>
    <w:p>
      <w:pPr>
        <w:spacing w:after="200" w:line="320"/>
      </w:pPr>
      <w:r>
        <w:rPr>
          <w:rFonts w:ascii="Georgia" w:cs="Georgia" w:eastAsia="Georgia" w:hAnsi="Georgia"/>
          <w:sz w:val="24"/>
          <w:szCs w:val="24"/>
        </w:rPr>
        <w:t xml:space="preserve">She went from reacting to anticipating. From waiting six weeks for a maybe to knowing in three that yes, this is working.</w:t>
      </w:r>
    </w:p>
    <w:p>
      <w:pPr>
        <w:spacing w:after="80" w:line="320"/>
      </w:pPr>
      <w:r>
        <w:rPr>
          <w:rFonts w:ascii="Georgia" w:cs="Georgia" w:eastAsia="Georgia" w:hAnsi="Georgia"/>
          <w:i/>
          <w:iCs/>
          <w:sz w:val="24"/>
          <w:szCs w:val="24"/>
        </w:rPr>
        <w:t xml:space="preserve">For a 23-year-old trying to finish a degree, that’s not a small thing.</w:t>
      </w:r>
    </w:p>
    <w:p>
      <w:pPr>
        <w:spacing w:after="400" w:line="320"/>
      </w:pPr>
      <w:r>
        <w:rPr>
          <w:rFonts w:ascii="Georgia" w:cs="Georgia" w:eastAsia="Georgia" w:hAnsi="Georgia"/>
          <w:b/>
          <w:bCs/>
          <w:color w:val="1B4F8A"/>
          <w:sz w:val="26"/>
          <w:szCs w:val="26"/>
        </w:rPr>
        <w:t xml:space="preserve">That’s the difference between a disease that runs her week and one she can plan around.</w:t>
      </w:r>
    </w:p>
    <w:p>
      <w:pPr>
        <w:pBdr>
          <w:top w:val="single" w:color="1B4F8A" w:sz="4" w:space="8"/>
        </w:pBdr>
        <w:spacing w:after="100" w:before="200"/>
      </w:pPr>
      <w:r>
        <w:rPr>
          <w:rFonts w:ascii="Arial" w:cs="Arial" w:eastAsia="Arial" w:hAnsi="Arial"/>
          <w:color w:val="666666"/>
          <w:sz w:val="18"/>
          <w:szCs w:val="18"/>
        </w:rPr>
        <w:t xml:space="preserve">Biomarkr Health  •  biomarkr.health  •  Q-SENS: Real-Time Cytokine Monitoring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4F8A"/>
      <w:sz w:val="36"/>
      <w:szCs w:val="36"/>
    </w:rPr>
  </w:style>
  <w:style w:type="paragraph" w:styleId="SectionBreak">
    <w:name w:val="Section Break"/>
    <w:basedOn w:val="Normal"/>
    <w:pPr>
      <w:spacing w:after="200" w:before="360"/>
      <w:jc w:val="center"/>
    </w:pPr>
    <w:rPr>
      <w:b/>
      <w:bCs/>
      <w:color w:val="1B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2026-05-20T21:41:38.783Z</dcterms:created>
  <dcterms:modified xsi:type="dcterms:W3CDTF">2026-05-20T21:41:38.783Z</dcterms:modified>
</cp:coreProperties>
</file>

<file path=docProps/custom.xml><?xml version="1.0" encoding="utf-8"?>
<Properties xmlns="http://schemas.openxmlformats.org/officeDocument/2006/custom-properties" xmlns:vt="http://schemas.openxmlformats.org/officeDocument/2006/docPropsVTypes"/>
</file>