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color w:val="555555"/>
          <w:sz w:val="18"/>
          <w:szCs w:val="18"/>
        </w:rPr>
        <w:t xml:space="preserve">Universidad Tecnológica de Pereira — Estadística (TS4D3), 5º semestre — Anteproyecto</w:t>
      </w:r>
    </w:p>
    <w:p>
      <w:pPr>
        <w:spacing w:after="40" w:before="80"/>
        <w:jc w:val="center"/>
      </w:pPr>
      <w:r>
        <w:rPr>
          <w:rFonts w:ascii="Calibri" w:cs="Calibri" w:eastAsia="Calibri" w:hAnsi="Calibri"/>
          <w:b/>
          <w:bCs/>
          <w:color w:val="1F3864"/>
          <w:sz w:val="28"/>
          <w:szCs w:val="28"/>
        </w:rPr>
        <w:t xml:space="preserve">AetherNet — Validación estadística del filtro EMA con datos externos validados</w:t>
      </w:r>
    </w:p>
    <w:p>
      <w:pPr>
        <w:pBdr>
          <w:bottom w:val="single" w:color="1F3864" w:sz="6" w:space="6"/>
        </w:pBdr>
        <w:spacing w:after="160"/>
        <w:jc w:val="center"/>
      </w:pPr>
      <w:r>
        <w:rPr>
          <w:rFonts w:ascii="Calibri" w:cs="Calibri" w:eastAsia="Calibri" w:hAnsi="Calibri"/>
          <w:i/>
          <w:iCs/>
          <w:color w:val="444444"/>
          <w:sz w:val="20"/>
          <w:szCs w:val="20"/>
        </w:rPr>
        <w:t xml:space="preserve">IoT &amp; Autonomous Rover</w:t>
      </w:r>
    </w:p>
    <w:p>
      <w:pPr>
        <w:pStyle w:val="Heading1"/>
        <w:spacing w:after="60" w:before="140"/>
      </w:pPr>
      <w:r>
        <w:rPr>
          <w:rFonts w:ascii="Calibri" w:cs="Calibri" w:eastAsia="Calibri" w:hAnsi="Calibri"/>
          <w:b/>
          <w:bCs/>
          <w:color w:val="1F3864"/>
          <w:sz w:val="24"/>
          <w:szCs w:val="24"/>
        </w:rPr>
        <w:t xml:space="preserve">1. Nombre del proyecto</w:t>
      </w:r>
    </w:p>
    <w:p>
      <w:pPr>
        <w:spacing w:after="100" w:line="252"/>
        <w:jc w:val="both"/>
      </w:pPr>
      <w:r>
        <w:rPr>
          <w:rFonts w:ascii="Calibri" w:cs="Calibri" w:eastAsia="Calibri" w:hAnsi="Calibri"/>
          <w:b w:val="false"/>
          <w:bCs w:val="false"/>
          <w:i w:val="false"/>
          <w:iCs w:val="false"/>
          <w:sz w:val="20"/>
          <w:szCs w:val="20"/>
        </w:rPr>
        <w:t xml:space="preserve">AetherNet — IoT &amp; Autonomous Rover.</w:t>
      </w:r>
    </w:p>
    <w:p>
      <w:pPr>
        <w:pStyle w:val="Heading1"/>
        <w:spacing w:after="60" w:before="140"/>
      </w:pPr>
      <w:r>
        <w:rPr>
          <w:rFonts w:ascii="Calibri" w:cs="Calibri" w:eastAsia="Calibri" w:hAnsi="Calibri"/>
          <w:b/>
          <w:bCs/>
          <w:color w:val="1F3864"/>
          <w:sz w:val="24"/>
          <w:szCs w:val="24"/>
        </w:rPr>
        <w:t xml:space="preserve">2. Integrante</w:t>
      </w:r>
    </w:p>
    <w:p>
      <w:pPr>
        <w:spacing w:after="100" w:line="252"/>
        <w:jc w:val="both"/>
      </w:pPr>
      <w:r>
        <w:rPr>
          <w:rFonts w:ascii="Calibri" w:cs="Calibri" w:eastAsia="Calibri" w:hAnsi="Calibri"/>
          <w:b w:val="false"/>
          <w:bCs w:val="false"/>
          <w:i w:val="false"/>
          <w:iCs w:val="false"/>
          <w:sz w:val="20"/>
          <w:szCs w:val="20"/>
        </w:rPr>
        <w:t xml:space="preserve">Andrés Felipe Martínez Henao (trabajo individual).</w:t>
      </w:r>
    </w:p>
    <w:p>
      <w:pPr>
        <w:pStyle w:val="Heading1"/>
        <w:spacing w:after="60" w:before="140"/>
      </w:pPr>
      <w:r>
        <w:rPr>
          <w:rFonts w:ascii="Calibri" w:cs="Calibri" w:eastAsia="Calibri" w:hAnsi="Calibri"/>
          <w:b/>
          <w:bCs/>
          <w:color w:val="1F3864"/>
          <w:sz w:val="24"/>
          <w:szCs w:val="24"/>
        </w:rPr>
        <w:t xml:space="preserve">3. Justificación</w:t>
      </w:r>
    </w:p>
    <w:p>
      <w:pPr>
        <w:spacing w:after="100" w:line="252"/>
        <w:jc w:val="both"/>
      </w:pPr>
      <w:r>
        <w:rPr>
          <w:rFonts w:ascii="Calibri" w:cs="Calibri" w:eastAsia="Calibri" w:hAnsi="Calibri"/>
          <w:b w:val="false"/>
          <w:bCs w:val="false"/>
          <w:i w:val="false"/>
          <w:iCs w:val="false"/>
          <w:sz w:val="20"/>
          <w:szCs w:val="20"/>
        </w:rPr>
        <w:t xml:space="preserve">AetherNet incluye un rover autónomo tipo tanque que, por seguridad, debe evitar chocar contra objetos y evitar caerse por bordes o escaleras. Para eso usa un sensor ultrasónico (HC-SR04) que detecta obstáculos y sensores infrarrojos que detectan bordes. El problema es que la lectura cruda de estos sensores trae ruido — variaciones que no corresponden a la distancia real — y ese ruido puede hacer que el rover no detecte a tiempo un obstáculo o un borde real y termine chocando o cayendo.</w:t>
      </w:r>
    </w:p>
    <w:p>
      <w:pPr>
        <w:spacing w:after="100" w:line="252"/>
        <w:jc w:val="both"/>
      </w:pPr>
      <w:r>
        <w:rPr>
          <w:rFonts w:ascii="Calibri" w:cs="Calibri" w:eastAsia="Calibri" w:hAnsi="Calibri"/>
          <w:b w:val="false"/>
          <w:bCs w:val="false"/>
          <w:i w:val="false"/>
          <w:iCs w:val="false"/>
          <w:sz w:val="20"/>
          <w:szCs w:val="20"/>
        </w:rPr>
        <w:t xml:space="preserve">Para reducir ese riesgo, el proyecto usa un filtro de suavizado llamado EMA (media móvil exponencial), que combina la lectura actual con el historial reciente para entregar un valor más estable antes de decidir si el rover frena o esquiva. Este filtro ya es un requisito obligatorio del proyecto y su buen funcionamiento es central para la seguridad del rover, no un simple ejercicio estadístico aislado.</w:t>
      </w:r>
    </w:p>
    <w:p>
      <w:pPr>
        <w:spacing w:after="100" w:line="252"/>
        <w:jc w:val="both"/>
      </w:pPr>
      <w:r>
        <w:rPr>
          <w:rFonts w:ascii="Calibri" w:cs="Calibri" w:eastAsia="Calibri" w:hAnsi="Calibri"/>
          <w:b w:val="false"/>
          <w:bCs w:val="false"/>
          <w:i w:val="false"/>
          <w:iCs w:val="false"/>
          <w:sz w:val="20"/>
          <w:szCs w:val="20"/>
        </w:rPr>
        <w:t xml:space="preserve">Hasta ahora el filtro solo se ha probado con ruido generado por computador y con una captura corta propia (531 muestras), lo que deja abierta la pregunta de si funciona igual de bien con datos reales, medidos y validados por personas externas al proyecto. Por eso se usan dos datasets externos de Kaggle, que se complementan: no porque sean el centro del proyecto, sino como una prueba adicional que confirme, con datos de terceros, que la reducción de ruido del filtro se sostiene.</w:t>
      </w:r>
    </w:p>
    <w:p>
      <w:pPr>
        <w:spacing w:after="100" w:line="252"/>
        <w:jc w:val="both"/>
      </w:pPr>
      <w:r>
        <w:rPr>
          <w:rFonts w:ascii="Calibri" w:cs="Calibri" w:eastAsia="Calibri" w:hAnsi="Calibri"/>
          <w:b w:val="false"/>
          <w:bCs w:val="false"/>
          <w:i w:val="false"/>
          <w:iCs w:val="false"/>
          <w:sz w:val="20"/>
          <w:szCs w:val="20"/>
        </w:rPr>
        <w:t xml:space="preserve">El primero (turbidez del agua) aporta un volumen grande de datos bajo condiciones ambientales controladas, útil para confirmar la reducción de ruido de forma robusta. El segundo (gestos de mano) usa exactamente el mismo modelo de sensor que usa AetherNet, el HC-SR04, y sí registra el movimiento real en el tiempo (50 fotogramas a 20 Hz por gesto) — lo que permite además revisar qué tan rápido reacciona el filtro ante un cambio real de distancia, algo que el primer dataset no permite evaluar porque son mediciones repetidas sin movimiento.</w:t>
      </w:r>
    </w:p>
    <w:p>
      <w:pPr>
        <w:spacing w:after="100" w:line="252"/>
        <w:jc w:val="both"/>
      </w:pPr>
      <w:r>
        <w:rPr>
          <w:rFonts w:ascii="Calibri" w:cs="Calibri" w:eastAsia="Calibri" w:hAnsi="Calibri"/>
          <w:b w:val="false"/>
          <w:bCs w:val="false"/>
          <w:i w:val="false"/>
          <w:iCs w:val="false"/>
          <w:sz w:val="20"/>
          <w:szCs w:val="20"/>
        </w:rPr>
        <w:t xml:space="preserve">Esta validación con el dataset externo es solo una parte del trabajo estadístico del proyecto. De forma independiente, con datos propios (no el dataset de Kaggle), también se compara mediante una prueba t de Student la latencia de radiofrecuencia (nRF24L01) frente a Wi-Fi, para justificar por qué el rover se controla por RF y no por Wi-Fi. Ese análisis no hace parte de este anteproyecto; se menciona solo para dejar clara la proporción real: el dataset aquí descrito responde únicamente a la validación del filtro EMA.</w:t>
      </w:r>
    </w:p>
    <w:p>
      <w:pPr>
        <w:pStyle w:val="Heading1"/>
        <w:spacing w:after="60" w:before="140"/>
      </w:pPr>
      <w:r>
        <w:rPr>
          <w:rFonts w:ascii="Calibri" w:cs="Calibri" w:eastAsia="Calibri" w:hAnsi="Calibri"/>
          <w:b/>
          <w:bCs/>
          <w:color w:val="1F3864"/>
          <w:sz w:val="24"/>
          <w:szCs w:val="24"/>
        </w:rPr>
        <w:t xml:space="preserve">4. Objetivo general</w:t>
      </w:r>
    </w:p>
    <w:p>
      <w:pPr>
        <w:spacing w:after="100" w:line="252"/>
        <w:jc w:val="both"/>
      </w:pPr>
      <w:r>
        <w:rPr>
          <w:rFonts w:ascii="Calibri" w:cs="Calibri" w:eastAsia="Calibri" w:hAnsi="Calibri"/>
          <w:b w:val="false"/>
          <w:bCs w:val="false"/>
          <w:i w:val="false"/>
          <w:iCs w:val="false"/>
          <w:sz w:val="20"/>
          <w:szCs w:val="20"/>
        </w:rPr>
        <w:t xml:space="preserve">Confirmar, con datos reales de un sensor ultrasónico validados por expertos externos, que el filtro EMA (α=0.2) que AetherNet usa para evitar choques y caídas del rover reduce el ruido de la lectura de forma consistente con lo ya observado en las pruebas internas del proyecto.</w:t>
      </w:r>
    </w:p>
    <w:p>
      <w:pPr>
        <w:pStyle w:val="Heading1"/>
        <w:spacing w:after="60" w:before="140"/>
      </w:pPr>
      <w:r>
        <w:rPr>
          <w:rFonts w:ascii="Calibri" w:cs="Calibri" w:eastAsia="Calibri" w:hAnsi="Calibri"/>
          <w:b/>
          <w:bCs/>
          <w:color w:val="1F3864"/>
          <w:sz w:val="24"/>
          <w:szCs w:val="24"/>
        </w:rPr>
        <w:t xml:space="preserve">5. Objetivos específicos</w:t>
      </w:r>
    </w:p>
    <w:p>
      <w:pPr>
        <w:pStyle w:val="ListParagraph"/>
        <w:numPr>
          <w:ilvl w:val="0"/>
          <w:numId w:val="1"/>
        </w:numPr>
        <w:spacing w:after="40" w:line="252"/>
      </w:pPr>
      <w:r>
        <w:rPr>
          <w:rFonts w:ascii="Calibri" w:cs="Calibri" w:eastAsia="Calibri" w:hAnsi="Calibri"/>
          <w:sz w:val="20"/>
          <w:szCs w:val="20"/>
        </w:rPr>
        <w:t xml:space="preserve">Describir el comportamiento del sensor ultrasónico del dataset externo (promedio, variación, valores atípicos), agrupado por turbidez del agua, ángulo del sensor y nivel real de agua.</w:t>
      </w:r>
    </w:p>
    <w:p>
      <w:pPr>
        <w:pStyle w:val="ListParagraph"/>
        <w:numPr>
          <w:ilvl w:val="0"/>
          <w:numId w:val="1"/>
        </w:numPr>
        <w:spacing w:after="40" w:line="252"/>
      </w:pPr>
      <w:r>
        <w:rPr>
          <w:rFonts w:ascii="Calibri" w:cs="Calibri" w:eastAsia="Calibri" w:hAnsi="Calibri"/>
          <w:sz w:val="20"/>
          <w:szCs w:val="20"/>
        </w:rPr>
        <w:t xml:space="preserve">Aplicar el filtro EMA (α=0.2) sobre las lecturas del dataset externo y calcular qué tanto se reduce el error de medición frente al valor real, usando el mismo criterio de éxito (reducción mayor al 85%) que ya usa el proyecto.</w:t>
      </w:r>
    </w:p>
    <w:p>
      <w:pPr>
        <w:pStyle w:val="ListParagraph"/>
        <w:numPr>
          <w:ilvl w:val="0"/>
          <w:numId w:val="1"/>
        </w:numPr>
        <w:spacing w:after="40" w:line="252"/>
      </w:pPr>
      <w:r>
        <w:rPr>
          <w:rFonts w:ascii="Calibri" w:cs="Calibri" w:eastAsia="Calibri" w:hAnsi="Calibri"/>
          <w:sz w:val="20"/>
          <w:szCs w:val="20"/>
        </w:rPr>
        <w:t xml:space="preserve">Comparar si esa reducción de error se mantiene igual entre turbidez baja y alta, para saber si el filtro es igual de confiable en condiciones más adversas.</w:t>
      </w:r>
    </w:p>
    <w:p>
      <w:pPr>
        <w:pStyle w:val="ListParagraph"/>
        <w:numPr>
          <w:ilvl w:val="0"/>
          <w:numId w:val="1"/>
        </w:numPr>
        <w:spacing w:after="40" w:line="252"/>
      </w:pPr>
      <w:r>
        <w:rPr>
          <w:rFonts w:ascii="Calibri" w:cs="Calibri" w:eastAsia="Calibri" w:hAnsi="Calibri"/>
          <w:sz w:val="20"/>
          <w:szCs w:val="20"/>
        </w:rPr>
        <w:t xml:space="preserve">Concluir si el valor α=0.2 elegido para el rover sigue siendo razonable a la luz de estos datos externos, o si conviene ajustarlo.</w:t>
      </w:r>
    </w:p>
    <w:p>
      <w:pPr>
        <w:pStyle w:val="ListParagraph"/>
        <w:numPr>
          <w:ilvl w:val="0"/>
          <w:numId w:val="1"/>
        </w:numPr>
        <w:spacing w:after="40" w:line="252"/>
      </w:pPr>
      <w:r>
        <w:rPr>
          <w:rFonts w:ascii="Calibri" w:cs="Calibri" w:eastAsia="Calibri" w:hAnsi="Calibri"/>
          <w:sz w:val="20"/>
          <w:szCs w:val="20"/>
        </w:rPr>
        <w:t xml:space="preserve">Medir, con el dataset de gestos de mano (que sí tiene movimiento real en el tiempo), qué tan rápido reacciona el filtro EMA ante un cambio real de distancia — algo que el dataset de turbidez no permite evaluar.</w:t>
      </w:r>
    </w:p>
    <w:p>
      <w:pPr>
        <w:pStyle w:val="Heading1"/>
        <w:spacing w:after="60" w:before="140"/>
      </w:pPr>
      <w:r>
        <w:rPr>
          <w:rFonts w:ascii="Calibri" w:cs="Calibri" w:eastAsia="Calibri" w:hAnsi="Calibri"/>
          <w:b/>
          <w:bCs/>
          <w:color w:val="1F3864"/>
          <w:sz w:val="24"/>
          <w:szCs w:val="24"/>
        </w:rPr>
        <w:t xml:space="preserve">6. Pregunta de investigación</w:t>
      </w:r>
    </w:p>
    <w:p>
      <w:pPr>
        <w:spacing w:after="100" w:line="252"/>
        <w:jc w:val="both"/>
      </w:pPr>
      <w:r>
        <w:rPr>
          <w:rFonts w:ascii="Calibri" w:cs="Calibri" w:eastAsia="Calibri" w:hAnsi="Calibri"/>
          <w:b w:val="false"/>
          <w:bCs w:val="false"/>
          <w:i w:val="false"/>
          <w:iCs w:val="false"/>
          <w:sz w:val="20"/>
          <w:szCs w:val="20"/>
        </w:rPr>
        <w:t xml:space="preserve">¿El filtro EMA (α=0.2) que AetherNet usa para evitar que el rover choque contra obstáculos o se caiga por bordes, a causa de errores de lectura del sensor ultrasónico, reduce el ruido de forma consistente y reacciona con suficiente rapidez al aplicarse sobre datos reales de sensores ultrasónicos, validados por expertos externos, bajo distintas condiciones (turbidez del agua y movimiento real de una mano)?</w:t>
      </w:r>
    </w:p>
    <w:p>
      <w:pPr>
        <w:pStyle w:val="Heading1"/>
        <w:spacing w:after="60" w:before="140"/>
      </w:pPr>
      <w:r>
        <w:rPr>
          <w:rFonts w:ascii="Calibri" w:cs="Calibri" w:eastAsia="Calibri" w:hAnsi="Calibri"/>
          <w:b/>
          <w:bCs/>
          <w:color w:val="1F3864"/>
          <w:sz w:val="24"/>
          <w:szCs w:val="24"/>
        </w:rPr>
        <w:t xml:space="preserve">7. Fuente y descripción del dataset 1 — Turbidez del agua</w:t>
      </w:r>
    </w:p>
    <w:p>
      <w:pPr>
        <w:spacing w:after="60" w:line="252"/>
      </w:pPr>
      <w:r>
        <w:rPr>
          <w:rFonts w:ascii="Calibri" w:cs="Calibri" w:eastAsia="Calibri" w:hAnsi="Calibri"/>
          <w:b/>
          <w:bCs/>
          <w:sz w:val="20"/>
          <w:szCs w:val="20"/>
        </w:rPr>
        <w:t xml:space="preserve">Fuente (Kaggle): </w:t>
      </w:r>
      <w:hyperlink w:history="1" r:id="rIdvnfavgjyucyzsdabo2twf">
        <w:r>
          <w:rPr>
            <w:rFonts w:ascii="Calibri" w:cs="Calibri" w:eastAsia="Calibri" w:hAnsi="Calibri"/>
            <w:color w:val="1155CC"/>
            <w:sz w:val="20"/>
            <w:szCs w:val="20"/>
            <w:u w:val="single"/>
          </w:rPr>
          <w:t xml:space="preserve">https://www.kaggle.com/datasets/caetanoranieri/water-level-identification-with-lidar</w:t>
        </w:r>
      </w:hyperlink>
    </w:p>
    <w:p>
      <w:pPr>
        <w:spacing w:after="60" w:line="252"/>
        <w:jc w:val="both"/>
      </w:pPr>
      <w:r>
        <w:rPr>
          <w:rFonts w:ascii="Calibri" w:cs="Calibri" w:eastAsia="Calibri" w:hAnsi="Calibri"/>
          <w:b/>
          <w:bCs/>
          <w:sz w:val="20"/>
          <w:szCs w:val="20"/>
        </w:rPr>
        <w:t xml:space="preserve">Título: </w:t>
      </w:r>
      <w:r>
        <w:rPr>
          <w:rFonts w:ascii="Calibri" w:cs="Calibri" w:eastAsia="Calibri" w:hAnsi="Calibri"/>
          <w:sz w:val="20"/>
          <w:szCs w:val="20"/>
        </w:rPr>
        <w:t xml:space="preserve">Water level identification with distance sensors</w:t>
      </w:r>
    </w:p>
    <w:p>
      <w:pPr>
        <w:spacing w:after="60" w:line="252"/>
        <w:jc w:val="both"/>
      </w:pPr>
      <w:r>
        <w:rPr>
          <w:rFonts w:ascii="Calibri" w:cs="Calibri" w:eastAsia="Calibri" w:hAnsi="Calibri"/>
          <w:b/>
          <w:bCs/>
          <w:sz w:val="20"/>
          <w:szCs w:val="20"/>
        </w:rPr>
        <w:t xml:space="preserve">Creador: </w:t>
      </w:r>
      <w:r>
        <w:rPr>
          <w:rFonts w:ascii="Calibri" w:cs="Calibri" w:eastAsia="Calibri" w:hAnsi="Calibri"/>
          <w:sz w:val="20"/>
          <w:szCs w:val="20"/>
        </w:rPr>
        <w:t xml:space="preserve">Caetano Ranieri (Kaggle: caetanoranieri)</w:t>
      </w:r>
    </w:p>
    <w:p>
      <w:pPr>
        <w:spacing w:after="60" w:line="252"/>
        <w:jc w:val="both"/>
      </w:pPr>
      <w:r>
        <w:rPr>
          <w:rFonts w:ascii="Calibri" w:cs="Calibri" w:eastAsia="Calibri" w:hAnsi="Calibri"/>
          <w:b/>
          <w:bCs/>
          <w:sz w:val="20"/>
          <w:szCs w:val="20"/>
        </w:rPr>
        <w:t xml:space="preserve">Fecha de publicación: </w:t>
      </w:r>
      <w:r>
        <w:rPr>
          <w:rFonts w:ascii="Calibri" w:cs="Calibri" w:eastAsia="Calibri" w:hAnsi="Calibri"/>
          <w:sz w:val="20"/>
          <w:szCs w:val="20"/>
        </w:rPr>
        <w:t xml:space="preserve">25 de octubre de 2023, versión 1</w:t>
      </w:r>
    </w:p>
    <w:p>
      <w:pPr>
        <w:spacing w:after="60" w:line="252"/>
        <w:jc w:val="both"/>
      </w:pPr>
      <w:r>
        <w:rPr>
          <w:rFonts w:ascii="Calibri" w:cs="Calibri" w:eastAsia="Calibri" w:hAnsi="Calibri"/>
          <w:b/>
          <w:bCs/>
          <w:sz w:val="20"/>
          <w:szCs w:val="20"/>
        </w:rPr>
        <w:t xml:space="preserve">Licencia: </w:t>
      </w:r>
      <w:r>
        <w:rPr>
          <w:rFonts w:ascii="Calibri" w:cs="Calibri" w:eastAsia="Calibri" w:hAnsi="Calibri"/>
          <w:sz w:val="20"/>
          <w:szCs w:val="20"/>
        </w:rPr>
        <w:t xml:space="preserve">CC BY-SA 4.0 (Creative Commons Atribución-CompartirIgual 4.0 Internacional) — requiere atribución y compartir bajo la misma licencia; compatible con el requisito 100% FOSS del proyecto</w:t>
      </w:r>
    </w:p>
    <w:p>
      <w:pPr>
        <w:spacing w:after="100" w:line="252"/>
        <w:jc w:val="both"/>
      </w:pPr>
      <w:r>
        <w:rPr>
          <w:rFonts w:ascii="Calibri" w:cs="Calibri" w:eastAsia="Calibri" w:hAnsi="Calibri"/>
          <w:b/>
          <w:bCs/>
          <w:i w:val="false"/>
          <w:iCs w:val="false"/>
          <w:sz w:val="20"/>
          <w:szCs w:val="20"/>
        </w:rPr>
        <w:t xml:space="preserve">Cita solicitada por los autores:</w:t>
      </w:r>
    </w:p>
    <w:p>
      <w:pPr>
        <w:spacing w:after="100" w:line="252"/>
        <w:jc w:val="both"/>
      </w:pPr>
      <w:r>
        <w:rPr>
          <w:rFonts w:ascii="Calibri" w:cs="Calibri" w:eastAsia="Calibri" w:hAnsi="Calibri"/>
          <w:b w:val="false"/>
          <w:bCs w:val="false"/>
          <w:i/>
          <w:iCs/>
          <w:sz w:val="20"/>
          <w:szCs w:val="20"/>
        </w:rPr>
        <w:t xml:space="preserve">Ranieri, C.M., Foletto, A.V., Garcia, R.D., Matos, S.N., Medina, M.M., Marcolino, L.S. y Ueyama, J. (2024). Water level identification with laser sensors, inertial units, and machine learning. Engineering Applications of Artificial Intelligence, 127, 107235. https://doi.org/10.1016/j.engappai.2023.107235</w:t>
      </w:r>
    </w:p>
    <w:p>
      <w:pPr>
        <w:spacing w:after="100" w:line="252"/>
        <w:jc w:val="both"/>
      </w:pPr>
      <w:r>
        <w:rPr>
          <w:rFonts w:ascii="Calibri" w:cs="Calibri" w:eastAsia="Calibri" w:hAnsi="Calibri"/>
          <w:b w:val="false"/>
          <w:bCs w:val="false"/>
          <w:i w:val="false"/>
          <w:iCs w:val="false"/>
          <w:sz w:val="20"/>
          <w:szCs w:val="20"/>
        </w:rPr>
        <w:t xml:space="preserve">Descripción: banco de laboratorio que sincroniza un sensor LiDAR, un sensor ultrasónico y una IMU, bajo un diseño factorial controlado de 3 niveles de turbidez del agua (low/medium/high) × 5 ángulos de inclinación (0.0° a 10.0°) × 7 niveles reales de agua (50 mm a 350 mm) × 300 observaciones por combinación, para un total de 31.500 filas (10.500 por archivo de turbidez), cumpliendo ampliamente el mínimo de 100 observaciones y aportando una variable cualitativa (turbidity) y múltiples variables cuantitativas.</w:t>
      </w:r>
    </w:p>
    <w:p>
      <w:pPr>
        <w:spacing w:after="100" w:line="252"/>
        <w:jc w:val="both"/>
      </w:pPr>
      <w:r>
        <w:rPr>
          <w:rFonts w:ascii="Calibri" w:cs="Calibri" w:eastAsia="Calibri" w:hAnsi="Calibri"/>
          <w:b/>
          <w:bCs/>
          <w:i w:val="false"/>
          <w:iCs w:val="false"/>
          <w:sz w:val="20"/>
          <w:szCs w:val="20"/>
        </w:rPr>
        <w:t xml:space="preserve">Variables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3864" w:val="clear"/>
            <w:tcMar>
              <w:top w:type="dxa" w:w="40"/>
              <w:left w:type="dxa" w:w="80"/>
              <w:bottom w:type="dxa" w:w="40"/>
              <w:right w:type="dxa" w:w="80"/>
            </w:tcMar>
          </w:tcPr>
          <w:p>
            <w:r>
              <w:rPr>
                <w:rFonts w:ascii="Calibri" w:cs="Calibri" w:eastAsia="Calibri" w:hAnsi="Calibri"/>
                <w:b/>
                <w:bCs/>
                <w:color w:val="FFFFFF"/>
                <w:sz w:val="18"/>
                <w:szCs w:val="18"/>
              </w:rPr>
              <w:t xml:space="preserve">Variable</w:t>
            </w:r>
          </w:p>
        </w:tc>
        <w:tc>
          <w:tcPr>
            <w:tcW w:type="dxa" w:w="6800"/>
            <w:shd w:fill="1F3864" w:val="clear"/>
            <w:tcMar>
              <w:top w:type="dxa" w:w="40"/>
              <w:left w:type="dxa" w:w="80"/>
              <w:bottom w:type="dxa" w:w="40"/>
              <w:right w:type="dxa" w:w="80"/>
            </w:tcMar>
          </w:tcPr>
          <w:p>
            <w:r>
              <w:rPr>
                <w:rFonts w:ascii="Calibri" w:cs="Calibri" w:eastAsia="Calibri" w:hAnsi="Calibri"/>
                <w:b/>
                <w:bCs/>
                <w:color w:val="FFFFFF"/>
                <w:sz w:val="18"/>
                <w:szCs w:val="18"/>
              </w:rPr>
              <w:t xml:space="preserve">Descripción</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id</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Identificador consecutivo de la observación dentro del archivo.</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ir_value</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Lectura cruda del sensor LiDAR (distancia por infrarrojo).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ir_strength</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Intensidad de la señal reflejada del LiDAR (proxy de turbidez/condición ambiental).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us_value</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Lectura cruda del sensor ultrasónico (mismo principio time-of-flight que el HC-SR04 usado en AetherNet).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acc_*, gyr_*, gyr_acc_*</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Aceleración lineal, velocidad angular y sus derivadas (IMU), 3 ejes cada una. Cuantitativas.</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angle</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Ángulo de inclinación del sensor: 5 niveles (0.0 / 2.5 / 5.0 / 7.5 / 10.0°). Cuantitativa discreta / factor controlado.</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water_level</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Nivel real de agua en mm: 7 niveles (50 a 350 mm, paso 50). Cuantitativa discreta — variable de referencia ("verdad de terreno").</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turbidity</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Nivel de turbidez del agua: low / medium / high (un archivo por nivel). Cualitativa ordinal.</w:t>
            </w:r>
          </w:p>
        </w:tc>
      </w:tr>
    </w:tbl>
    <w:p>
      <w:pPr>
        <w:spacing w:before="160"/>
      </w:pPr>
    </w:p>
    <w:p>
      <w:pPr>
        <w:spacing w:after="100" w:line="252"/>
        <w:jc w:val="both"/>
      </w:pPr>
      <w:r>
        <w:rPr>
          <w:rFonts w:ascii="Calibri" w:cs="Calibri" w:eastAsia="Calibri" w:hAnsi="Calibri"/>
          <w:b w:val="false"/>
          <w:bCs w:val="false"/>
          <w:i w:val="false"/>
          <w:iCs w:val="false"/>
          <w:sz w:val="20"/>
          <w:szCs w:val="20"/>
        </w:rPr>
        <w:t xml:space="preserve">Este dataset sirve para responder la pregunta porque su variable us_value viene de un sensor ultrasónico que mide distancia igual que el HC-SR04 del rover, y trae un valor real de referencia (water_level) con el que se puede calcular el error de forma directa. Además, al tener tres niveles de turbidez, permite ver si el filtro EMA se sigue comportando bien incluso en condiciones más difíciles.</w:t>
      </w:r>
    </w:p>
    <w:p>
      <w:pPr>
        <w:pStyle w:val="Heading1"/>
        <w:spacing w:after="60" w:before="140"/>
      </w:pPr>
      <w:r>
        <w:rPr>
          <w:rFonts w:ascii="Calibri" w:cs="Calibri" w:eastAsia="Calibri" w:hAnsi="Calibri"/>
          <w:b/>
          <w:bCs/>
          <w:color w:val="1F3864"/>
          <w:sz w:val="24"/>
          <w:szCs w:val="24"/>
        </w:rPr>
        <w:t xml:space="preserve">8. Fuente y descripción del dataset 2 — Gestos de mano (complementario)</w:t>
      </w:r>
    </w:p>
    <w:p>
      <w:pPr>
        <w:spacing w:after="60" w:line="252"/>
      </w:pPr>
      <w:r>
        <w:rPr>
          <w:rFonts w:ascii="Calibri" w:cs="Calibri" w:eastAsia="Calibri" w:hAnsi="Calibri"/>
          <w:b/>
          <w:bCs/>
          <w:sz w:val="20"/>
          <w:szCs w:val="20"/>
        </w:rPr>
        <w:t xml:space="preserve">Fuente (Kaggle): </w:t>
      </w:r>
      <w:hyperlink w:history="1" r:id="rIddbbfpwjcbp30pqmb-gcru">
        <w:r>
          <w:rPr>
            <w:rFonts w:ascii="Calibri" w:cs="Calibri" w:eastAsia="Calibri" w:hAnsi="Calibri"/>
            <w:color w:val="1155CC"/>
            <w:sz w:val="20"/>
            <w:szCs w:val="20"/>
            <w:u w:val="single"/>
          </w:rPr>
          <w:t xml:space="preserve">https://www.kaggle.com/datasets/marisolgil/hand-gesture-dataset</w:t>
        </w:r>
      </w:hyperlink>
    </w:p>
    <w:p>
      <w:pPr>
        <w:spacing w:after="60" w:line="252"/>
        <w:jc w:val="both"/>
      </w:pPr>
      <w:r>
        <w:rPr>
          <w:rFonts w:ascii="Calibri" w:cs="Calibri" w:eastAsia="Calibri" w:hAnsi="Calibri"/>
          <w:b/>
          <w:bCs/>
          <w:sz w:val="20"/>
          <w:szCs w:val="20"/>
        </w:rPr>
        <w:t xml:space="preserve">Título: </w:t>
      </w:r>
      <w:r>
        <w:rPr>
          <w:rFonts w:ascii="Calibri" w:cs="Calibri" w:eastAsia="Calibri" w:hAnsi="Calibri"/>
          <w:sz w:val="20"/>
          <w:szCs w:val="20"/>
        </w:rPr>
        <w:t xml:space="preserve">Hand Gesture Dataset</w:t>
      </w:r>
    </w:p>
    <w:p>
      <w:pPr>
        <w:spacing w:after="60" w:line="252"/>
        <w:jc w:val="both"/>
      </w:pPr>
      <w:r>
        <w:rPr>
          <w:rFonts w:ascii="Calibri" w:cs="Calibri" w:eastAsia="Calibri" w:hAnsi="Calibri"/>
          <w:b/>
          <w:bCs/>
          <w:sz w:val="20"/>
          <w:szCs w:val="20"/>
        </w:rPr>
        <w:t xml:space="preserve">Autora: </w:t>
      </w:r>
      <w:r>
        <w:rPr>
          <w:rFonts w:ascii="Calibri" w:cs="Calibri" w:eastAsia="Calibri" w:hAnsi="Calibri"/>
          <w:sz w:val="20"/>
          <w:szCs w:val="20"/>
        </w:rPr>
        <w:t xml:space="preserve">Marisol Gil Valenzuela (Ing. Industrial y de Sistemas, Universidad de Sonora; maestría en IA e IoT)</w:t>
      </w:r>
    </w:p>
    <w:p>
      <w:pPr>
        <w:spacing w:after="60" w:line="252"/>
        <w:jc w:val="both"/>
      </w:pPr>
      <w:r>
        <w:rPr>
          <w:rFonts w:ascii="Calibri" w:cs="Calibri" w:eastAsia="Calibri" w:hAnsi="Calibri"/>
          <w:b/>
          <w:bCs/>
          <w:sz w:val="20"/>
          <w:szCs w:val="20"/>
        </w:rPr>
        <w:t xml:space="preserve">Licencia: </w:t>
      </w:r>
      <w:r>
        <w:rPr>
          <w:rFonts w:ascii="Calibri" w:cs="Calibri" w:eastAsia="Calibri" w:hAnsi="Calibri"/>
          <w:sz w:val="20"/>
          <w:szCs w:val="20"/>
        </w:rPr>
        <w:t xml:space="preserve">CC0 — Dominio público (sin restricciones de uso ni de atribución)</w:t>
      </w:r>
    </w:p>
    <w:p>
      <w:pPr>
        <w:spacing w:after="100" w:line="252"/>
        <w:jc w:val="both"/>
      </w:pPr>
      <w:r>
        <w:rPr>
          <w:rFonts w:ascii="Calibri" w:cs="Calibri" w:eastAsia="Calibri" w:hAnsi="Calibri"/>
          <w:b/>
          <w:bCs/>
          <w:i w:val="false"/>
          <w:iCs w:val="false"/>
          <w:sz w:val="20"/>
          <w:szCs w:val="20"/>
        </w:rPr>
        <w:t xml:space="preserve">Cita (DOI):</w:t>
      </w:r>
    </w:p>
    <w:p>
      <w:pPr>
        <w:spacing w:after="100" w:line="252"/>
        <w:jc w:val="both"/>
      </w:pPr>
      <w:r>
        <w:rPr>
          <w:rFonts w:ascii="Calibri" w:cs="Calibri" w:eastAsia="Calibri" w:hAnsi="Calibri"/>
          <w:b w:val="false"/>
          <w:bCs w:val="false"/>
          <w:i/>
          <w:iCs/>
          <w:sz w:val="20"/>
          <w:szCs w:val="20"/>
        </w:rPr>
        <w:t xml:space="preserve">Marisol Gil. (2026). Hand Gesture Dataset [Dataset]. Kaggle. https://doi.org/10.34740/kaggle/dsv/16239431</w:t>
      </w:r>
    </w:p>
    <w:p>
      <w:pPr>
        <w:spacing w:after="100" w:line="252"/>
        <w:jc w:val="both"/>
      </w:pPr>
      <w:r>
        <w:rPr>
          <w:rFonts w:ascii="Calibri" w:cs="Calibri" w:eastAsia="Calibri" w:hAnsi="Calibri"/>
          <w:b w:val="false"/>
          <w:bCs w:val="false"/>
          <w:i w:val="false"/>
          <w:iCs w:val="false"/>
          <w:sz w:val="20"/>
          <w:szCs w:val="20"/>
        </w:rPr>
        <w:t xml:space="preserve">Descripción: mediciones de distancia tomadas con un sensor HC-SR04 — el mismo sensor que usa AetherNet — durante 5 tipos de gestos de mano (acercar, alejar, estático cerca, estático lejos, ninguno). Cada gesto es una secuencia de 50 fotogramas capturados a 20 Hz (≈2.5 segundos), con velocidad, aceleración y tendencia de movimiento ya calculadas, más metadatos del sujeto. El archivo usado tiene 5.000 filas, cumpliendo ampliamente el mínimo de 100 observaciones, con variables cualitativas (gesto, mano, tendencia) y cuantitativas (distancia, velocidad, aceleración).</w:t>
      </w:r>
    </w:p>
    <w:p>
      <w:pPr>
        <w:spacing w:after="100" w:line="252"/>
        <w:jc w:val="both"/>
      </w:pPr>
      <w:r>
        <w:rPr>
          <w:rFonts w:ascii="Calibri" w:cs="Calibri" w:eastAsia="Calibri" w:hAnsi="Calibri"/>
          <w:b/>
          <w:bCs/>
          <w:i w:val="false"/>
          <w:iCs w:val="false"/>
          <w:sz w:val="20"/>
          <w:szCs w:val="20"/>
        </w:rPr>
        <w:t xml:space="preserve">Variables principales: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F3864" w:val="clear"/>
            <w:tcMar>
              <w:top w:type="dxa" w:w="40"/>
              <w:left w:type="dxa" w:w="80"/>
              <w:bottom w:type="dxa" w:w="40"/>
              <w:right w:type="dxa" w:w="80"/>
            </w:tcMar>
          </w:tcPr>
          <w:p>
            <w:r>
              <w:rPr>
                <w:rFonts w:ascii="Calibri" w:cs="Calibri" w:eastAsia="Calibri" w:hAnsi="Calibri"/>
                <w:b/>
                <w:bCs/>
                <w:color w:val="FFFFFF"/>
                <w:sz w:val="18"/>
                <w:szCs w:val="18"/>
              </w:rPr>
              <w:t xml:space="preserve">Variable</w:t>
            </w:r>
          </w:p>
        </w:tc>
        <w:tc>
          <w:tcPr>
            <w:tcW w:type="dxa" w:w="6800"/>
            <w:shd w:fill="1F3864" w:val="clear"/>
            <w:tcMar>
              <w:top w:type="dxa" w:w="40"/>
              <w:left w:type="dxa" w:w="80"/>
              <w:bottom w:type="dxa" w:w="40"/>
              <w:right w:type="dxa" w:w="80"/>
            </w:tcMar>
          </w:tcPr>
          <w:p>
            <w:r>
              <w:rPr>
                <w:rFonts w:ascii="Calibri" w:cs="Calibri" w:eastAsia="Calibri" w:hAnsi="Calibri"/>
                <w:b/>
                <w:bCs/>
                <w:color w:val="FFFFFF"/>
                <w:sz w:val="18"/>
                <w:szCs w:val="18"/>
              </w:rPr>
              <w:t xml:space="preserve">Descripción</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frame_id</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Número de fotograma dentro de la secuencia del gesto (0 a 49). Cuantitativa discreta.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timestamp_ms</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Marca de tiempo en milisegundos de la captura (20 Hz ≈ cada 50 ms).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sujeto_id</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Identificador de la persona que hizo el gesto. Cualitativa nominal.</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mano</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Mano usada para el gesto (derecha/izquierda). Cualitativa nominal.</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velocidad_subjetiva</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Ritmo con el que la persona hizo el gesto: lenta/normal/rápida. Cualitativa ordinal.</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gesto</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Tipo de gesto: acercar, alejar, estático cerca, estático lejos, ninguno. Cualitativa nominal — variable de interés principal.</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distancia_cm</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Distancia medida por el sensor HC-SR04 en cada fotograma. Cuantitativa — misma unidad y sensor que usa AetherNet.</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velocidad_cm_s</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Velocidad de cambio de la distancia entre fotogramas.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aceleracion_cm_s2</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Aceleración del movimiento de la mano. Cuantitativa.</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tendencia</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Dirección del movimiento en ese instante: estable/subiendo/bajando. Cualitativa ordinal.</w:t>
            </w:r>
          </w:p>
        </w:tc>
      </w:tr>
      <w:tr>
        <w:tc>
          <w:tcPr>
            <w:tcW w:type="dxa" w:w="2400"/>
            <w:tcMar>
              <w:top w:type="dxa" w:w="40"/>
              <w:left w:type="dxa" w:w="80"/>
              <w:bottom w:type="dxa" w:w="40"/>
              <w:right w:type="dxa" w:w="80"/>
            </w:tcMar>
          </w:tcPr>
          <w:p>
            <w:r>
              <w:rPr>
                <w:rFonts w:ascii="Calibri" w:cs="Calibri" w:eastAsia="Calibri" w:hAnsi="Calibri"/>
                <w:b w:val="false"/>
                <w:bCs w:val="false"/>
                <w:color w:val="000000"/>
                <w:sz w:val="18"/>
                <w:szCs w:val="18"/>
              </w:rPr>
              <w:t xml:space="preserve">valido</w:t>
            </w:r>
          </w:p>
        </w:tc>
        <w:tc>
          <w:tcPr>
            <w:tcW w:type="dxa" w:w="6800"/>
            <w:tcMar>
              <w:top w:type="dxa" w:w="40"/>
              <w:left w:type="dxa" w:w="80"/>
              <w:bottom w:type="dxa" w:w="40"/>
              <w:right w:type="dxa" w:w="80"/>
            </w:tcMar>
          </w:tcPr>
          <w:p>
            <w:r>
              <w:rPr>
                <w:rFonts w:ascii="Calibri" w:cs="Calibri" w:eastAsia="Calibri" w:hAnsi="Calibri"/>
                <w:b w:val="false"/>
                <w:bCs w:val="false"/>
                <w:color w:val="000000"/>
                <w:sz w:val="18"/>
                <w:szCs w:val="18"/>
              </w:rPr>
              <w:t xml:space="preserve">Indicador de si la lectura de ese fotograma es válida (1) o no (0). Cualitativa binaria.</w:t>
            </w:r>
          </w:p>
        </w:tc>
      </w:tr>
    </w:tbl>
    <w:p>
      <w:pPr>
        <w:spacing w:before="160"/>
      </w:pPr>
    </w:p>
    <w:p>
      <w:pPr>
        <w:spacing w:after="100" w:line="252"/>
        <w:jc w:val="both"/>
      </w:pPr>
      <w:r>
        <w:rPr>
          <w:rFonts w:ascii="Calibri" w:cs="Calibri" w:eastAsia="Calibri" w:hAnsi="Calibri"/>
          <w:b w:val="false"/>
          <w:bCs w:val="false"/>
          <w:i w:val="false"/>
          <w:iCs w:val="false"/>
          <w:sz w:val="20"/>
          <w:szCs w:val="20"/>
        </w:rPr>
        <w:t xml:space="preserve">Este segundo dataset complementa al primero porque usa el mismo modelo de sensor que el rover (HC-SR04) y sí tiene movimiento real capturado en el tiempo, algo que el dataset de turbidez no ofrece. Esto permite, además de confirmar la reducción de ruido, revisar qué tan rápido responde el filtro EMA ante un cambio real de distancia — el mismo tipo de situación que enfrenta el rover cuando aparece un obstáculo de repente.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nfavgjyucyzsdabo2twf" Type="http://schemas.openxmlformats.org/officeDocument/2006/relationships/hyperlink" Target="https://www.kaggle.com/datasets/caetanoranieri/water-level-identification-with-lidar" TargetMode="External"/><Relationship Id="rIddbbfpwjcbp30pqmb-gcru" Type="http://schemas.openxmlformats.org/officeDocument/2006/relationships/hyperlink" Target="https://www.kaggle.com/datasets/marisolgil/hand-gesture-datase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2026-09-10T04:51:48.122Z</dcterms:created>
  <dcterms:modified xsi:type="dcterms:W3CDTF">2026-09-10T04:51:48.140Z</dcterms:modified>
</cp:coreProperties>
</file>

<file path=docProps/custom.xml><?xml version="1.0" encoding="utf-8"?>
<Properties xmlns="http://schemas.openxmlformats.org/officeDocument/2006/custom-properties" xmlns:vt="http://schemas.openxmlformats.org/officeDocument/2006/docPropsVTypes"/>
</file>