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rtl w:val="0"/>
        </w:rPr>
        <w:t xml:space="preserve">日記 その五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今日はお祭りの最終日で、花火を見てきたよ！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昨日からずっと楽しみにしてたから、実物を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見た時にすっごく感動しちゃった！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赤にピンク、黄緑、青。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花火ってあんなにたくさんの色があるんだね！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途中までクロエの花火ランキングはピンクが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一位だったんだけど、逆転に成功した花火が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いたのです！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それは、時間差花火！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不発だと思わせて、少し時間が経った後に小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さなお花が一斉に咲くの！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夜空におっきな花が一輪咲くのも綺麗だけど、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やっぱり花はたくさんあった方が綺麗だもん。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あの花火を思いついた人は天才だね！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あと、今日は迷子の子のお姉さんを一緒に探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したんだ。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大好きな人が突然いなくなっちゃうなんて悲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しいもんね。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無事に会えてよかった。</w:t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あの兄妹も、一緒に花火を見たのかな。</w:t>
      </w:r>
    </w:p>
    <w:sectPr>
      <w:headerReference r:id="rId5" w:type="default"/>
      <w:pgSz w:h="16838" w:w="11906"/>
      <w:pgMar w:bottom="1701" w:top="1985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游明朝" w:cs="游明朝" w:eastAsia="游明朝" w:hAnsi="游明朝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