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tbl>
      <w:tblPr>
        <w:tblStyle w:val="Table1"/>
        <w:tblW w:w="9923.0" w:type="dxa"/>
        <w:jc w:val="left"/>
        <w:tblLayout w:type="fixed"/>
        <w:tblLook w:val="0000"/>
      </w:tblPr>
      <w:tblGrid>
        <w:gridCol w:w="1191"/>
        <w:gridCol w:w="369"/>
        <w:gridCol w:w="3543"/>
        <w:gridCol w:w="57"/>
        <w:gridCol w:w="4763"/>
        <w:tblGridChange w:id="0">
          <w:tblGrid>
            <w:gridCol w:w="1191"/>
            <w:gridCol w:w="369"/>
            <w:gridCol w:w="3543"/>
            <w:gridCol w:w="57"/>
            <w:gridCol w:w="4763"/>
          </w:tblGrid>
        </w:tblGridChange>
      </w:tblGrid>
      <w:tr>
        <w:trPr>
          <w:cantSplit w:val="1"/>
          <w:trHeight w:val="930" w:hRule="atLeast"/>
          <w:tblHeader w:val="0"/>
        </w:trPr>
        <w:tc>
          <w:tcPr>
            <w:vMerge w:val="restart"/>
          </w:tcPr>
          <w:p w:rsidR="00000000" w:rsidDel="00000000" w:rsidP="00000000" w:rsidRDefault="00000000" w:rsidRPr="00000000" w14:paraId="00000002">
            <w:pPr>
              <w:spacing w:before="120" w:lineRule="auto"/>
              <w:jc w:val="both"/>
              <w:rPr>
                <w:sz w:val="20"/>
                <w:szCs w:val="20"/>
              </w:rPr>
            </w:pPr>
            <w:r w:rsidDel="00000000" w:rsidR="00000000" w:rsidRPr="00000000">
              <w:rPr/>
              <w:drawing>
                <wp:inline distB="0" distT="0" distL="0" distR="0">
                  <wp:extent cx="647700" cy="704850"/>
                  <wp:effectExtent b="0" l="0" r="0" t="0"/>
                  <wp:docPr descr="A black and white logo&#10;&#10;Description automatically generated with low confidence" id="24383758" name="image1.png"/>
                  <a:graphic>
                    <a:graphicData uri="http://schemas.openxmlformats.org/drawingml/2006/picture">
                      <pic:pic>
                        <pic:nvPicPr>
                          <pic:cNvPr descr="A black and white logo&#10;&#10;Description automatically generated with low confidence" id="0" name="image1.png"/>
                          <pic:cNvPicPr preferRelativeResize="0"/>
                        </pic:nvPicPr>
                        <pic:blipFill>
                          <a:blip r:embed="rId7"/>
                          <a:srcRect b="0" l="0" r="0" t="0"/>
                          <a:stretch>
                            <a:fillRect/>
                          </a:stretch>
                        </pic:blipFill>
                        <pic:spPr>
                          <a:xfrm>
                            <a:off x="0" y="0"/>
                            <a:ext cx="647700" cy="704850"/>
                          </a:xfrm>
                          <a:prstGeom prst="rect"/>
                          <a:ln/>
                        </pic:spPr>
                      </pic:pic>
                    </a:graphicData>
                  </a:graphic>
                </wp:inline>
              </w:drawing>
            </w:r>
            <w:r w:rsidDel="00000000" w:rsidR="00000000" w:rsidRPr="00000000">
              <w:rPr>
                <w:rtl w:val="0"/>
              </w:rPr>
            </w:r>
          </w:p>
        </w:tc>
        <w:tc>
          <w:tcPr>
            <w:gridSpan w:val="2"/>
            <w:vMerge w:val="restart"/>
          </w:tcPr>
          <w:p w:rsidR="00000000" w:rsidDel="00000000" w:rsidP="00000000" w:rsidRDefault="00000000" w:rsidRPr="00000000" w14:paraId="00000003">
            <w:pPr>
              <w:spacing w:before="120" w:lineRule="auto"/>
              <w:jc w:val="both"/>
              <w:rPr>
                <w:sz w:val="16"/>
                <w:szCs w:val="16"/>
              </w:rPr>
            </w:pPr>
            <w:r w:rsidDel="00000000" w:rsidR="00000000" w:rsidRPr="00000000">
              <w:rPr>
                <w:sz w:val="16"/>
                <w:szCs w:val="16"/>
                <w:rtl w:val="0"/>
              </w:rPr>
              <w:t xml:space="preserve">INTERNATIONAL TELECOMMUNICATION UNION</w:t>
            </w:r>
          </w:p>
          <w:p w:rsidR="00000000" w:rsidDel="00000000" w:rsidP="00000000" w:rsidRDefault="00000000" w:rsidRPr="00000000" w14:paraId="00000004">
            <w:pPr>
              <w:spacing w:before="120" w:lineRule="auto"/>
              <w:jc w:val="both"/>
              <w:rPr>
                <w:b w:val="1"/>
                <w:sz w:val="26"/>
                <w:szCs w:val="26"/>
              </w:rPr>
            </w:pPr>
            <w:r w:rsidDel="00000000" w:rsidR="00000000" w:rsidRPr="00000000">
              <w:rPr>
                <w:b w:val="1"/>
                <w:sz w:val="26"/>
                <w:szCs w:val="26"/>
                <w:rtl w:val="0"/>
              </w:rPr>
              <w:t xml:space="preserve">TELECOMMUNICATION</w:t>
            </w:r>
            <w:r w:rsidDel="00000000" w:rsidR="00000000" w:rsidRPr="00000000">
              <w:rPr>
                <w:rtl w:val="0"/>
              </w:rPr>
              <w:br w:type="textWrapping"/>
            </w:r>
            <w:r w:rsidDel="00000000" w:rsidR="00000000" w:rsidRPr="00000000">
              <w:rPr>
                <w:b w:val="1"/>
                <w:sz w:val="26"/>
                <w:szCs w:val="26"/>
                <w:rtl w:val="0"/>
              </w:rPr>
              <w:t xml:space="preserve">STANDARDIZATION SECTOR</w:t>
            </w:r>
          </w:p>
          <w:p w:rsidR="00000000" w:rsidDel="00000000" w:rsidP="00000000" w:rsidRDefault="00000000" w:rsidRPr="00000000" w14:paraId="00000005">
            <w:pPr>
              <w:spacing w:before="120" w:lineRule="auto"/>
              <w:jc w:val="both"/>
              <w:rPr>
                <w:sz w:val="20"/>
                <w:szCs w:val="20"/>
              </w:rPr>
            </w:pPr>
            <w:r w:rsidDel="00000000" w:rsidR="00000000" w:rsidRPr="00000000">
              <w:rPr>
                <w:sz w:val="20"/>
                <w:szCs w:val="20"/>
                <w:rtl w:val="0"/>
              </w:rPr>
              <w:t xml:space="preserve">STUDY PERIOD 2022-2024</w:t>
            </w:r>
          </w:p>
        </w:tc>
        <w:tc>
          <w:tcPr>
            <w:gridSpan w:val="2"/>
            <w:vAlign w:val="center"/>
          </w:tcPr>
          <w:p w:rsidR="00000000" w:rsidDel="00000000" w:rsidP="00000000" w:rsidRDefault="00000000" w:rsidRPr="00000000" w14:paraId="00000007">
            <w:pPr>
              <w:tabs>
                <w:tab w:val="left" w:leader="none" w:pos="794"/>
                <w:tab w:val="left" w:leader="none" w:pos="1191"/>
                <w:tab w:val="left" w:leader="none" w:pos="1588"/>
                <w:tab w:val="left" w:leader="none" w:pos="1985"/>
              </w:tabs>
              <w:spacing w:before="120" w:lineRule="auto"/>
              <w:jc w:val="both"/>
              <w:rPr>
                <w:b w:val="1"/>
                <w:sz w:val="40"/>
                <w:szCs w:val="40"/>
              </w:rPr>
            </w:pPr>
            <w:r w:rsidDel="00000000" w:rsidR="00000000" w:rsidRPr="00000000">
              <w:rPr>
                <w:b w:val="1"/>
                <w:smallCaps w:val="1"/>
                <w:sz w:val="28"/>
                <w:szCs w:val="28"/>
                <w:rtl w:val="0"/>
              </w:rPr>
              <w:t xml:space="preserve">Focus Group on AI Native Networks </w:t>
            </w:r>
            <w:r w:rsidDel="00000000" w:rsidR="00000000" w:rsidRPr="00000000">
              <w:rPr>
                <w:rtl w:val="0"/>
              </w:rPr>
            </w:r>
          </w:p>
        </w:tc>
      </w:tr>
      <w:tr>
        <w:trPr>
          <w:cantSplit w:val="1"/>
          <w:trHeight w:val="491" w:hRule="atLeast"/>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0"/>
                <w:szCs w:val="40"/>
              </w:rPr>
            </w:pPr>
            <w:r w:rsidDel="00000000" w:rsidR="00000000" w:rsidRPr="00000000">
              <w:rPr>
                <w:rtl w:val="0"/>
              </w:rPr>
            </w:r>
          </w:p>
        </w:tc>
        <w:tc>
          <w:tcPr>
            <w:gridSpan w:val="2"/>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0"/>
                <w:szCs w:val="40"/>
              </w:rPr>
            </w:pPr>
            <w:r w:rsidDel="00000000" w:rsidR="00000000" w:rsidRPr="00000000">
              <w:rPr>
                <w:rtl w:val="0"/>
              </w:rPr>
            </w:r>
          </w:p>
        </w:tc>
        <w:tc>
          <w:tcPr>
            <w:gridSpan w:val="2"/>
            <w:vAlign w:val="center"/>
          </w:tcPr>
          <w:p w:rsidR="00000000" w:rsidDel="00000000" w:rsidP="00000000" w:rsidRDefault="00000000" w:rsidRPr="00000000" w14:paraId="0000000C">
            <w:pPr>
              <w:tabs>
                <w:tab w:val="left" w:leader="none" w:pos="794"/>
                <w:tab w:val="left" w:leader="none" w:pos="1191"/>
                <w:tab w:val="left" w:leader="none" w:pos="1588"/>
                <w:tab w:val="left" w:leader="none" w:pos="1985"/>
              </w:tabs>
              <w:spacing w:before="120" w:lineRule="auto"/>
              <w:jc w:val="both"/>
              <w:rPr>
                <w:b w:val="1"/>
                <w:smallCaps w:val="1"/>
                <w:sz w:val="28"/>
                <w:szCs w:val="28"/>
              </w:rPr>
            </w:pPr>
            <w:r w:rsidDel="00000000" w:rsidR="00000000" w:rsidRPr="00000000">
              <w:rPr>
                <w:b w:val="1"/>
                <w:sz w:val="28"/>
                <w:szCs w:val="28"/>
                <w:rtl w:val="0"/>
              </w:rPr>
              <w:t xml:space="preserve">AINN-I-xx</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tc>
        <w:tc>
          <w:tcPr>
            <w:gridSpan w:val="2"/>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tc>
        <w:tc>
          <w:tcPr>
            <w:gridSpan w:val="2"/>
            <w:tcBorders>
              <w:bottom w:color="000000" w:space="0" w:sz="12" w:val="single"/>
            </w:tcBorders>
            <w:vAlign w:val="center"/>
          </w:tcPr>
          <w:p w:rsidR="00000000" w:rsidDel="00000000" w:rsidP="00000000" w:rsidRDefault="00000000" w:rsidRPr="00000000" w14:paraId="00000011">
            <w:pPr>
              <w:tabs>
                <w:tab w:val="left" w:leader="none" w:pos="794"/>
                <w:tab w:val="left" w:leader="none" w:pos="1191"/>
                <w:tab w:val="left" w:leader="none" w:pos="1588"/>
                <w:tab w:val="left" w:leader="none" w:pos="1985"/>
              </w:tabs>
              <w:spacing w:before="120" w:lineRule="auto"/>
              <w:jc w:val="both"/>
              <w:rPr>
                <w:b w:val="1"/>
                <w:sz w:val="28"/>
                <w:szCs w:val="28"/>
              </w:rPr>
            </w:pPr>
            <w:r w:rsidDel="00000000" w:rsidR="00000000" w:rsidRPr="00000000">
              <w:rPr>
                <w:b w:val="1"/>
                <w:sz w:val="28"/>
                <w:szCs w:val="28"/>
                <w:rtl w:val="0"/>
              </w:rPr>
              <w:t xml:space="preserve">Original: English</w:t>
            </w:r>
          </w:p>
        </w:tc>
      </w:tr>
      <w:tr>
        <w:trPr>
          <w:cantSplit w:val="1"/>
          <w:tblHeader w:val="0"/>
        </w:trPr>
        <w:tc>
          <w:tcPr>
            <w:gridSpan w:val="2"/>
          </w:tcPr>
          <w:p w:rsidR="00000000" w:rsidDel="00000000" w:rsidP="00000000" w:rsidRDefault="00000000" w:rsidRPr="00000000" w14:paraId="00000013">
            <w:pPr>
              <w:spacing w:before="120" w:lineRule="auto"/>
              <w:jc w:val="both"/>
              <w:rPr>
                <w:b w:val="1"/>
              </w:rPr>
            </w:pPr>
            <w:r w:rsidDel="00000000" w:rsidR="00000000" w:rsidRPr="00000000">
              <w:rPr>
                <w:b w:val="1"/>
                <w:rtl w:val="0"/>
              </w:rPr>
              <w:t xml:space="preserve">Question(s):</w:t>
            </w:r>
          </w:p>
        </w:tc>
        <w:tc>
          <w:tcPr/>
          <w:p w:rsidR="00000000" w:rsidDel="00000000" w:rsidP="00000000" w:rsidRDefault="00000000" w:rsidRPr="00000000" w14:paraId="00000015">
            <w:pPr>
              <w:spacing w:before="120" w:lineRule="auto"/>
              <w:jc w:val="both"/>
              <w:rPr/>
            </w:pPr>
            <w:r w:rsidDel="00000000" w:rsidR="00000000" w:rsidRPr="00000000">
              <w:rPr>
                <w:rtl w:val="0"/>
              </w:rPr>
              <w:t xml:space="preserve">N/A</w:t>
            </w:r>
          </w:p>
        </w:tc>
        <w:tc>
          <w:tcPr>
            <w:gridSpan w:val="2"/>
          </w:tcPr>
          <w:p w:rsidR="00000000" w:rsidDel="00000000" w:rsidP="00000000" w:rsidRDefault="00000000" w:rsidRPr="00000000" w14:paraId="00000016">
            <w:pPr>
              <w:spacing w:before="120" w:lineRule="auto"/>
              <w:jc w:val="both"/>
              <w:rPr/>
            </w:pPr>
            <w:r w:rsidDel="00000000" w:rsidR="00000000" w:rsidRPr="00000000">
              <w:rPr>
                <w:rtl w:val="0"/>
              </w:rPr>
              <w:t xml:space="preserve">Virtual, TBD 2024 </w:t>
            </w:r>
          </w:p>
        </w:tc>
      </w:tr>
      <w:tr>
        <w:trPr>
          <w:cantSplit w:val="1"/>
          <w:tblHeader w:val="0"/>
        </w:trPr>
        <w:tc>
          <w:tcPr>
            <w:gridSpan w:val="5"/>
          </w:tcPr>
          <w:p w:rsidR="00000000" w:rsidDel="00000000" w:rsidP="00000000" w:rsidRDefault="00000000" w:rsidRPr="00000000" w14:paraId="00000018">
            <w:pPr>
              <w:spacing w:before="120" w:lineRule="auto"/>
              <w:jc w:val="both"/>
              <w:rPr>
                <w:b w:val="1"/>
              </w:rPr>
            </w:pPr>
            <w:r w:rsidDel="00000000" w:rsidR="00000000" w:rsidRPr="00000000">
              <w:rPr>
                <w:b w:val="1"/>
                <w:rtl w:val="0"/>
              </w:rPr>
              <w:t xml:space="preserve">INPUT DOCUMENT</w:t>
            </w:r>
          </w:p>
        </w:tc>
      </w:tr>
      <w:tr>
        <w:trPr>
          <w:cantSplit w:val="1"/>
          <w:tblHeader w:val="0"/>
        </w:trPr>
        <w:tc>
          <w:tcPr>
            <w:gridSpan w:val="2"/>
          </w:tcPr>
          <w:p w:rsidR="00000000" w:rsidDel="00000000" w:rsidP="00000000" w:rsidRDefault="00000000" w:rsidRPr="00000000" w14:paraId="0000001D">
            <w:pPr>
              <w:spacing w:before="120" w:lineRule="auto"/>
              <w:jc w:val="both"/>
              <w:rPr>
                <w:b w:val="1"/>
              </w:rPr>
            </w:pPr>
            <w:r w:rsidDel="00000000" w:rsidR="00000000" w:rsidRPr="00000000">
              <w:rPr>
                <w:b w:val="1"/>
                <w:rtl w:val="0"/>
              </w:rPr>
              <w:t xml:space="preserve">Source:</w:t>
            </w:r>
          </w:p>
        </w:tc>
        <w:tc>
          <w:tcPr>
            <w:gridSpan w:val="3"/>
          </w:tcPr>
          <w:p w:rsidR="00000000" w:rsidDel="00000000" w:rsidP="00000000" w:rsidRDefault="00000000" w:rsidRPr="00000000" w14:paraId="0000001F">
            <w:pPr>
              <w:spacing w:before="120" w:lineRule="auto"/>
              <w:jc w:val="both"/>
              <w:rPr>
                <w:i w:val="1"/>
              </w:rPr>
            </w:pPr>
            <w:r w:rsidDel="00000000" w:rsidR="00000000" w:rsidRPr="00000000">
              <w:rPr>
                <w:i w:val="1"/>
                <w:rtl w:val="0"/>
              </w:rPr>
              <w:t xml:space="preserve">SRM AP</w:t>
            </w:r>
          </w:p>
        </w:tc>
      </w:tr>
      <w:tr>
        <w:trPr>
          <w:cantSplit w:val="1"/>
          <w:tblHeader w:val="0"/>
        </w:trPr>
        <w:tc>
          <w:tcPr>
            <w:gridSpan w:val="2"/>
          </w:tcPr>
          <w:p w:rsidR="00000000" w:rsidDel="00000000" w:rsidP="00000000" w:rsidRDefault="00000000" w:rsidRPr="00000000" w14:paraId="00000022">
            <w:pPr>
              <w:spacing w:before="120" w:lineRule="auto"/>
              <w:jc w:val="both"/>
              <w:rPr/>
            </w:pPr>
            <w:r w:rsidDel="00000000" w:rsidR="00000000" w:rsidRPr="00000000">
              <w:rPr>
                <w:b w:val="1"/>
                <w:rtl w:val="0"/>
              </w:rPr>
              <w:t xml:space="preserve">Title:</w:t>
            </w:r>
            <w:r w:rsidDel="00000000" w:rsidR="00000000" w:rsidRPr="00000000">
              <w:rPr>
                <w:rtl w:val="0"/>
              </w:rPr>
            </w:r>
          </w:p>
        </w:tc>
        <w:tc>
          <w:tcPr>
            <w:gridSpan w:val="3"/>
          </w:tcPr>
          <w:p w:rsidR="00000000" w:rsidDel="00000000" w:rsidP="00000000" w:rsidRDefault="00000000" w:rsidRPr="00000000" w14:paraId="00000024">
            <w:pPr>
              <w:spacing w:before="120" w:lineRule="auto"/>
              <w:jc w:val="both"/>
              <w:rPr>
                <w:i w:val="1"/>
              </w:rPr>
            </w:pPr>
            <w:r w:rsidDel="00000000" w:rsidR="00000000" w:rsidRPr="00000000">
              <w:rPr>
                <w:i w:val="1"/>
                <w:rtl w:val="0"/>
              </w:rPr>
              <w:t xml:space="preserve">SRM Squad - Report on </w:t>
            </w:r>
            <w:bookmarkStart w:colFirst="0" w:colLast="0" w:name="bookmark=id.1fob9te" w:id="0"/>
            <w:bookmarkEnd w:id="0"/>
            <w:bookmarkStart w:colFirst="0" w:colLast="0" w:name="bookmark=id.3znysh7" w:id="1"/>
            <w:bookmarkEnd w:id="1"/>
            <w:r w:rsidDel="00000000" w:rsidR="00000000" w:rsidRPr="00000000">
              <w:rPr>
                <w:i w:val="1"/>
                <w:rtl w:val="0"/>
              </w:rPr>
              <w:t xml:space="preserve">ITU WTSA Hackathon 2024 – The Golden Hour</w:t>
            </w:r>
          </w:p>
        </w:tc>
      </w:tr>
      <w:tr>
        <w:trPr>
          <w:cantSplit w:val="1"/>
          <w:tblHeader w:val="0"/>
        </w:trPr>
        <w:tc>
          <w:tcPr>
            <w:gridSpan w:val="2"/>
            <w:tcBorders>
              <w:top w:color="000000" w:space="0" w:sz="8" w:val="single"/>
              <w:bottom w:color="000000" w:space="0" w:sz="8" w:val="single"/>
            </w:tcBorders>
          </w:tcPr>
          <w:p w:rsidR="00000000" w:rsidDel="00000000" w:rsidP="00000000" w:rsidRDefault="00000000" w:rsidRPr="00000000" w14:paraId="00000027">
            <w:pPr>
              <w:spacing w:before="120" w:lineRule="auto"/>
              <w:jc w:val="both"/>
              <w:rPr>
                <w:b w:val="1"/>
              </w:rPr>
            </w:pPr>
            <w:r w:rsidDel="00000000" w:rsidR="00000000" w:rsidRPr="00000000">
              <w:rPr>
                <w:b w:val="1"/>
                <w:rtl w:val="0"/>
              </w:rPr>
              <w:t xml:space="preserve">Contact:</w:t>
            </w:r>
          </w:p>
        </w:tc>
        <w:tc>
          <w:tcPr>
            <w:gridSpan w:val="2"/>
            <w:tcBorders>
              <w:top w:color="000000" w:space="0" w:sz="8" w:val="single"/>
              <w:bottom w:color="000000" w:space="0" w:sz="8" w:val="single"/>
            </w:tcBorders>
          </w:tcPr>
          <w:p w:rsidR="00000000" w:rsidDel="00000000" w:rsidP="00000000" w:rsidRDefault="00000000" w:rsidRPr="00000000" w14:paraId="00000029">
            <w:pPr>
              <w:jc w:val="both"/>
              <w:rPr/>
            </w:pPr>
            <w:r w:rsidDel="00000000" w:rsidR="00000000" w:rsidRPr="00000000">
              <w:rPr>
                <w:rtl w:val="0"/>
              </w:rPr>
              <w:t xml:space="preserve">Mr. Ramu </w:t>
            </w:r>
          </w:p>
        </w:tc>
        <w:tc>
          <w:tcPr>
            <w:tcBorders>
              <w:top w:color="000000" w:space="0" w:sz="8" w:val="single"/>
              <w:bottom w:color="000000" w:space="0" w:sz="8" w:val="single"/>
            </w:tcBorders>
          </w:tcPr>
          <w:p w:rsidR="00000000" w:rsidDel="00000000" w:rsidP="00000000" w:rsidRDefault="00000000" w:rsidRPr="00000000" w14:paraId="0000002B">
            <w:pPr>
              <w:spacing w:before="120" w:lineRule="auto"/>
              <w:jc w:val="both"/>
              <w:rPr/>
            </w:pPr>
            <w:r w:rsidDel="00000000" w:rsidR="00000000" w:rsidRPr="00000000">
              <w:rPr>
                <w:rtl w:val="0"/>
              </w:rPr>
              <w:t xml:space="preserve">E-mail:  </w:t>
            </w:r>
            <w:hyperlink r:id="rId8">
              <w:r w:rsidDel="00000000" w:rsidR="00000000" w:rsidRPr="00000000">
                <w:rPr>
                  <w:color w:val="1155cc"/>
                  <w:u w:val="single"/>
                  <w:rtl w:val="0"/>
                </w:rPr>
                <w:t xml:space="preserve">email@gmail.com</w:t>
              </w:r>
            </w:hyperlink>
            <w:r w:rsidDel="00000000" w:rsidR="00000000" w:rsidRPr="00000000">
              <w:rPr>
                <w:rtl w:val="0"/>
              </w:rPr>
              <w:t xml:space="preserve"> </w:t>
            </w:r>
          </w:p>
        </w:tc>
      </w:tr>
    </w:tbl>
    <w:p w:rsidR="00000000" w:rsidDel="00000000" w:rsidP="00000000" w:rsidRDefault="00000000" w:rsidRPr="00000000" w14:paraId="0000002C">
      <w:pPr>
        <w:jc w:val="both"/>
        <w:rPr/>
      </w:pPr>
      <w:r w:rsidDel="00000000" w:rsidR="00000000" w:rsidRPr="00000000">
        <w:rPr>
          <w:rtl w:val="0"/>
        </w:rPr>
      </w:r>
    </w:p>
    <w:tbl>
      <w:tblPr>
        <w:tblStyle w:val="Table2"/>
        <w:tblW w:w="9923.0" w:type="dxa"/>
        <w:jc w:val="left"/>
        <w:tblLayout w:type="fixed"/>
        <w:tblLook w:val="0000"/>
      </w:tblPr>
      <w:tblGrid>
        <w:gridCol w:w="1607"/>
        <w:gridCol w:w="8316"/>
        <w:tblGridChange w:id="0">
          <w:tblGrid>
            <w:gridCol w:w="1607"/>
            <w:gridCol w:w="8316"/>
          </w:tblGrid>
        </w:tblGridChange>
      </w:tblGrid>
      <w:tr>
        <w:trPr>
          <w:cantSplit w:val="1"/>
          <w:tblHeader w:val="0"/>
        </w:trPr>
        <w:tc>
          <w:tcPr/>
          <w:p w:rsidR="00000000" w:rsidDel="00000000" w:rsidP="00000000" w:rsidRDefault="00000000" w:rsidRPr="00000000" w14:paraId="0000002D">
            <w:pPr>
              <w:spacing w:line="276" w:lineRule="auto"/>
              <w:jc w:val="both"/>
              <w:rPr>
                <w:b w:val="1"/>
              </w:rPr>
            </w:pPr>
            <w:r w:rsidDel="00000000" w:rsidR="00000000" w:rsidRPr="00000000">
              <w:rPr>
                <w:b w:val="1"/>
                <w:rtl w:val="0"/>
              </w:rPr>
              <w:t xml:space="preserve">Abstract:</w:t>
            </w:r>
          </w:p>
        </w:tc>
        <w:tc>
          <w:tcPr/>
          <w:p w:rsidR="00000000" w:rsidDel="00000000" w:rsidP="00000000" w:rsidRDefault="00000000" w:rsidRPr="00000000" w14:paraId="0000002E">
            <w:pPr>
              <w:spacing w:line="276" w:lineRule="auto"/>
              <w:jc w:val="both"/>
              <w:rPr/>
            </w:pPr>
            <w:r w:rsidDel="00000000" w:rsidR="00000000" w:rsidRPr="00000000">
              <w:rPr>
                <w:rtl w:val="0"/>
              </w:rPr>
              <w:t xml:space="preserve">This document contains the submission report for team name “SRM Squad” towards ITU WTSA Hackathon 2024 for use case</w:t>
            </w:r>
            <w:r w:rsidDel="00000000" w:rsidR="00000000" w:rsidRPr="00000000">
              <w:rPr>
                <w:i w:val="1"/>
                <w:rtl w:val="0"/>
              </w:rPr>
              <w:t xml:space="preserve"> “The Golden Hour”.</w:t>
            </w:r>
            <w:r w:rsidDel="00000000" w:rsidR="00000000" w:rsidRPr="00000000">
              <w:rPr>
                <w:rtl w:val="0"/>
              </w:rPr>
            </w:r>
          </w:p>
        </w:tc>
      </w:tr>
    </w:tbl>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2"/>
        <w:numPr>
          <w:ilvl w:val="0"/>
          <w:numId w:val="3"/>
        </w:numPr>
        <w:ind w:left="720" w:hanging="360"/>
        <w:jc w:val="both"/>
        <w:rPr>
          <w:u w:val="none"/>
        </w:rPr>
      </w:pPr>
      <w:bookmarkStart w:colFirst="0" w:colLast="0" w:name="_heading=h.dxm0zeh0pdbj" w:id="2"/>
      <w:bookmarkEnd w:id="2"/>
      <w:r w:rsidDel="00000000" w:rsidR="00000000" w:rsidRPr="00000000">
        <w:rPr>
          <w:rtl w:val="0"/>
        </w:rPr>
        <w:t xml:space="preserve">Use case introduction: </w:t>
      </w:r>
      <w:r w:rsidDel="00000000" w:rsidR="00000000" w:rsidRPr="00000000">
        <w:rPr>
          <w:b w:val="1"/>
          <w:rtl w:val="0"/>
        </w:rPr>
        <w:t xml:space="preserve">“The </w:t>
      </w:r>
      <w:r w:rsidDel="00000000" w:rsidR="00000000" w:rsidRPr="00000000">
        <w:rPr>
          <w:rtl w:val="0"/>
        </w:rPr>
        <w:t xml:space="preserve">G</w:t>
      </w:r>
      <w:r w:rsidDel="00000000" w:rsidR="00000000" w:rsidRPr="00000000">
        <w:rPr>
          <w:b w:val="1"/>
          <w:rtl w:val="0"/>
        </w:rPr>
        <w:t xml:space="preserve">olden hour”</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As per MoRTH </w:t>
      </w:r>
      <w:hyperlink r:id="rId9">
        <w:r w:rsidDel="00000000" w:rsidR="00000000" w:rsidRPr="00000000">
          <w:rPr>
            <w:color w:val="0563c1"/>
            <w:u w:val="single"/>
            <w:rtl w:val="0"/>
          </w:rPr>
          <w:t xml:space="preserve">report</w:t>
        </w:r>
      </w:hyperlink>
      <w:r w:rsidDel="00000000" w:rsidR="00000000" w:rsidRPr="00000000">
        <w:rPr>
          <w:rtl w:val="0"/>
        </w:rPr>
        <w:t xml:space="preserve"> , in 2022, 4,61,312 road accidents were reported, 1,68,491 persons were injured and 4,43,366 persons were injured. Govt of India initiated several schemes to provide timely care within the “golden hour” for accident victims. However, one of the important parameters is providing timely medical care to the victims of road accidents. This involves coordination between road traffic management systems as well as emergency management systems. Providing high quality care within the “golden hour” involves high priority connectivity to emergency care providers in the ambulance as well as in the emergency rooms.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Consider the scene map below:</w:t>
      </w:r>
    </w:p>
    <w:p w:rsidR="00000000" w:rsidDel="00000000" w:rsidP="00000000" w:rsidRDefault="00000000" w:rsidRPr="00000000" w14:paraId="00000036">
      <w:pPr>
        <w:jc w:val="both"/>
        <w:rPr/>
      </w:pPr>
      <w:r w:rsidDel="00000000" w:rsidR="00000000" w:rsidRPr="00000000">
        <w:rPr/>
        <w:drawing>
          <wp:inline distB="114300" distT="114300" distL="114300" distR="114300">
            <wp:extent cx="6119820" cy="3200400"/>
            <wp:effectExtent b="0" l="0" r="0" t="0"/>
            <wp:docPr id="2438375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82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Phase 1: Accident happens /Crash occurs. Mr. Ramu was driving in the highway when an unfortunate accident happens. Ramu is injured and the golden hour timer is starting. The concerned citizens call an ambulance. </w:t>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Phase 2: Ambulance arrives immediately. There is a medical team in the ambulance. The medical team starts first aid for Ramu and starts conversation with the emergency team in the ER (emergency room) and his vitals are monitored in real time.</w:t>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Phase 3: Traffic route is determined. Considering the golden hour rule, an optimal traffic route is determined. This also determines the connectivity on the way which should not break to avoid a break in  monitoring of Ramu by the ER team.</w:t>
      </w:r>
    </w:p>
    <w:p w:rsidR="00000000" w:rsidDel="00000000" w:rsidP="00000000" w:rsidRDefault="00000000" w:rsidRPr="00000000" w14:paraId="0000003F">
      <w:pPr>
        <w:numPr>
          <w:ilvl w:val="0"/>
          <w:numId w:val="4"/>
        </w:numPr>
        <w:ind w:left="720" w:hanging="360"/>
        <w:jc w:val="both"/>
        <w:rPr>
          <w:u w:val="none"/>
        </w:rPr>
      </w:pPr>
      <w:r w:rsidDel="00000000" w:rsidR="00000000" w:rsidRPr="00000000">
        <w:rPr>
          <w:rtl w:val="0"/>
        </w:rPr>
        <w:t xml:space="preserve">Phase 4: During the transit medical support is given. The team in the ambulance provides medical support and emergency help for Ramu during the transit with the support of the ER professionals.</w:t>
      </w:r>
    </w:p>
    <w:p w:rsidR="00000000" w:rsidDel="00000000" w:rsidP="00000000" w:rsidRDefault="00000000" w:rsidRPr="00000000" w14:paraId="00000040">
      <w:pPr>
        <w:numPr>
          <w:ilvl w:val="0"/>
          <w:numId w:val="4"/>
        </w:numPr>
        <w:ind w:left="720" w:hanging="360"/>
        <w:jc w:val="both"/>
        <w:rPr>
          <w:u w:val="none"/>
        </w:rPr>
      </w:pPr>
      <w:r w:rsidDel="00000000" w:rsidR="00000000" w:rsidRPr="00000000">
        <w:rPr>
          <w:rtl w:val="0"/>
        </w:rPr>
        <w:t xml:space="preserve">Phase 5: Emergency room is reached and local connectivity is used. Once the ER room is reached, Ramu is shifted to the ER and the enterprise connectivity in the ER is used.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Clause-3: PS1: pipeline design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u w:val="none"/>
        </w:rPr>
      </w:pPr>
      <w:bookmarkStart w:colFirst="0" w:colLast="0" w:name="_heading=h.2et92p0" w:id="3"/>
      <w:bookmarkEnd w:id="3"/>
      <w:r w:rsidDel="00000000" w:rsidR="00000000" w:rsidRPr="00000000">
        <w:rPr>
          <w:rtl w:val="0"/>
        </w:rPr>
        <w:t xml:space="preserve">AI /ML Concept used is Mobility Prediction. The following pipeline design is used.</w:t>
      </w:r>
    </w:p>
    <w:p w:rsidR="00000000" w:rsidDel="00000000" w:rsidP="00000000" w:rsidRDefault="00000000" w:rsidRPr="00000000" w14:paraId="00000047">
      <w:pPr>
        <w:ind w:left="720" w:firstLine="0"/>
        <w:jc w:val="both"/>
        <w:rPr/>
      </w:pPr>
      <w:bookmarkStart w:colFirst="0" w:colLast="0" w:name="_heading=h.9rovb262qdkq" w:id="4"/>
      <w:bookmarkEnd w:id="4"/>
      <w:r w:rsidDel="00000000" w:rsidR="00000000" w:rsidRPr="00000000">
        <w:rPr>
          <w:rtl w:val="0"/>
        </w:rPr>
      </w:r>
    </w:p>
    <w:p w:rsidR="00000000" w:rsidDel="00000000" w:rsidP="00000000" w:rsidRDefault="00000000" w:rsidRPr="00000000" w14:paraId="00000048">
      <w:pPr>
        <w:numPr>
          <w:ilvl w:val="0"/>
          <w:numId w:val="1"/>
        </w:numPr>
        <w:ind w:left="720" w:hanging="360"/>
        <w:jc w:val="both"/>
        <w:rPr>
          <w:u w:val="none"/>
        </w:rPr>
      </w:pPr>
      <w:bookmarkStart w:colFirst="0" w:colLast="0" w:name="_heading=h.qza8xcqbjrpo" w:id="5"/>
      <w:bookmarkEnd w:id="5"/>
      <w:r w:rsidDel="00000000" w:rsidR="00000000" w:rsidRPr="00000000">
        <w:rPr>
          <w:rtl w:val="0"/>
        </w:rPr>
        <w:t xml:space="preserve">SRC: UE locations</w:t>
      </w:r>
    </w:p>
    <w:p w:rsidR="00000000" w:rsidDel="00000000" w:rsidP="00000000" w:rsidRDefault="00000000" w:rsidRPr="00000000" w14:paraId="00000049">
      <w:pPr>
        <w:numPr>
          <w:ilvl w:val="0"/>
          <w:numId w:val="1"/>
        </w:numPr>
        <w:ind w:left="720" w:hanging="360"/>
        <w:jc w:val="both"/>
        <w:rPr>
          <w:u w:val="none"/>
        </w:rPr>
      </w:pPr>
      <w:bookmarkStart w:colFirst="0" w:colLast="0" w:name="_heading=h.adu4duyusm8r" w:id="6"/>
      <w:bookmarkEnd w:id="6"/>
      <w:r w:rsidDel="00000000" w:rsidR="00000000" w:rsidRPr="00000000">
        <w:rPr>
          <w:rtl w:val="0"/>
        </w:rPr>
        <w:t xml:space="preserve">C: edge servers</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M: mobility prediction, traffic predictions.</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D: rApp</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Sink: xApp</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Clause-4: PS2: xApp design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u w:val="none"/>
        </w:rPr>
      </w:pPr>
      <w:r w:rsidDel="00000000" w:rsidR="00000000" w:rsidRPr="00000000">
        <w:rPr>
          <w:rtl w:val="0"/>
        </w:rPr>
        <w:t xml:space="preserve">Open RAN concept used is Scaling and UE trajectory prediction-based mobility optimization. Scaling allows resources to be added (and deleted) based on the demand. In this case, based on the traffic route followed, the corresponding edge servers are provisioned on demand to allow seamless monitoring of the patient by ER doctors.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Clause-5: Relation to Standards.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Clause-6: Code submission details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Clause-7: Self-Testing results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u w:val="single"/>
        </w:rPr>
      </w:pPr>
      <w:r w:rsidDel="00000000" w:rsidR="00000000" w:rsidRPr="00000000">
        <w:rPr>
          <w:rtl w:val="0"/>
        </w:rPr>
      </w:r>
    </w:p>
    <w:p w:rsidR="00000000" w:rsidDel="00000000" w:rsidP="00000000" w:rsidRDefault="00000000" w:rsidRPr="00000000" w14:paraId="0000005F">
      <w:pPr>
        <w:jc w:val="both"/>
        <w:rPr>
          <w:u w:val="single"/>
        </w:rPr>
      </w:pPr>
      <w:r w:rsidDel="00000000" w:rsidR="00000000" w:rsidRPr="00000000">
        <w:rPr>
          <w:u w:val="single"/>
          <w:rtl w:val="0"/>
        </w:rPr>
        <w:t xml:space="preserve">_________________</w:t>
      </w:r>
    </w:p>
    <w:p w:rsidR="00000000" w:rsidDel="00000000" w:rsidP="00000000" w:rsidRDefault="00000000" w:rsidRPr="00000000" w14:paraId="00000060">
      <w:pPr>
        <w:jc w:val="both"/>
        <w:rPr/>
      </w:pPr>
      <w:r w:rsidDel="00000000" w:rsidR="00000000" w:rsidRPr="00000000">
        <w:rPr>
          <w:rtl w:val="0"/>
        </w:rPr>
      </w:r>
    </w:p>
    <w:sectPr>
      <w:headerReference r:id="rId11" w:type="default"/>
      <w:pgSz w:h="16840" w:w="11907" w:orient="portrait"/>
      <w:pgMar w:bottom="568" w:top="28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AN-I-354-R1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9347D"/>
    <w:pPr>
      <w:spacing w:after="0" w:line="240" w:lineRule="auto"/>
    </w:pPr>
    <w:rPr>
      <w:rFonts w:ascii="Times New Roman" w:cs="Times New Roman" w:eastAsia="Times New Roman" w:hAnsi="Times New Roman"/>
      <w:kern w:val="0"/>
      <w:sz w:val="24"/>
      <w:szCs w:val="24"/>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79347D"/>
    <w:pPr>
      <w:tabs>
        <w:tab w:val="center" w:pos="4680"/>
        <w:tab w:val="right" w:pos="9360"/>
      </w:tabs>
      <w:jc w:val="center"/>
    </w:pPr>
    <w:rPr>
      <w:rFonts w:eastAsiaTheme="minorEastAsia"/>
      <w:sz w:val="20"/>
      <w:szCs w:val="20"/>
      <w:lang w:eastAsia="ja-JP" w:val="en-GB"/>
    </w:rPr>
  </w:style>
  <w:style w:type="character" w:styleId="HeaderChar" w:customStyle="1">
    <w:name w:val="Header Char"/>
    <w:basedOn w:val="DefaultParagraphFont"/>
    <w:link w:val="Header"/>
    <w:rsid w:val="0079347D"/>
    <w:rPr>
      <w:rFonts w:ascii="Times New Roman" w:cs="Times New Roman" w:hAnsi="Times New Roman" w:eastAsiaTheme="minorEastAsia"/>
      <w:kern w:val="0"/>
      <w:sz w:val="20"/>
      <w:szCs w:val="20"/>
      <w:lang w:eastAsia="ja-JP" w:val="en-GB"/>
    </w:rPr>
  </w:style>
  <w:style w:type="character" w:styleId="Hyperlink">
    <w:name w:val="Hyperlink"/>
    <w:basedOn w:val="DefaultParagraphFont"/>
    <w:uiPriority w:val="99"/>
    <w:unhideWhenUsed w:val="1"/>
    <w:rsid w:val="00907157"/>
    <w:rPr>
      <w:color w:val="0563c1" w:themeColor="hyperlink"/>
      <w:u w:val="single"/>
    </w:rPr>
  </w:style>
  <w:style w:type="character" w:styleId="UnresolvedMention">
    <w:name w:val="Unresolved Mention"/>
    <w:basedOn w:val="DefaultParagraphFont"/>
    <w:uiPriority w:val="99"/>
    <w:semiHidden w:val="1"/>
    <w:unhideWhenUsed w:val="1"/>
    <w:rsid w:val="0090715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morth.nic.in/sites/default/files/AR-MoRTH_Annual%20Report_2023-24_English.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2yknEv4JxSlxRqK9CFNZfFiPtg==">CgMxLjAyCmlkLjFmb2I5dGUyCmlkLjN6bnlzaDcyDmguZHhtMHplaDBwZGJqMgloLjJldDkycDAyDmguOXJvdmIyNjJxZGtxMg5oLnF6YTh4Y3FianJwbzIOaC5hZHU0ZHV5dXNtOHI4AHIhMWlWVE5YQkM5clduMDhXTTBxUDRhZ1NZRkU1eWlxLWlL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2024-09-03T12:22:00Z</dcterms:created>
  <dc:creator>P.PRUDHVI KRISHNA</dc:creator>
</cp:coreProperties>
</file>