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 UI" w:hAnsi="Microsoft YaHei UI" w:eastAsia="Microsoft YaHei UI"/>
          <w:sz w:val="22"/>
        </w:rPr>
        <w:t>车载低轨卫星通信系统EMC正向设计方案（双轨合并版）</w:t>
      </w:r>
    </w:p>
    <w:p>
      <w:pPr>
        <w:pStyle w:val="Heading2"/>
      </w:pPr>
      <w:r>
        <w:rPr>
          <w:rFonts w:ascii="Microsoft YaHei UI" w:hAnsi="Microsoft YaHei UI" w:eastAsia="Microsoft YaHei UI"/>
          <w:sz w:val="22"/>
        </w:rPr>
        <w:t>1. 编制定位</w:t>
      </w:r>
    </w:p>
    <w:p>
      <w:r>
        <w:rPr>
          <w:rFonts w:ascii="Microsoft YaHei UI" w:hAnsi="Microsoft YaHei UI" w:eastAsia="Microsoft YaHei UI"/>
          <w:sz w:val="22"/>
        </w:rPr>
        <w:t>本稿不是把两份现有规范简单拼接，而是采用“共性主文 + 双轨分层”的方式重组，保证两份来源文件在合并后仍然各自成体系。</w:t>
      </w:r>
    </w:p>
    <w:p>
      <w:pPr>
        <w:pStyle w:val="ListBullet"/>
        <w:ind w:left="0"/>
      </w:pPr>
      <w:r>
        <w:rPr>
          <w:rFonts w:ascii="Consolas" w:hAnsi="Consolas" w:eastAsia="Consolas"/>
          <w:sz w:val="22"/>
        </w:rPr>
        <w:t>A轨</w:t>
      </w:r>
      <w:r>
        <w:rPr>
          <w:rFonts w:ascii="Microsoft YaHei UI" w:hAnsi="Microsoft YaHei UI" w:eastAsia="Microsoft YaHei UI"/>
          <w:sz w:val="22"/>
        </w:rPr>
        <w:t>：一汽-工创方案线</w:t>
      </w:r>
      <w:r>
        <w:br/>
      </w:r>
      <w:r>
        <w:rPr>
          <w:rFonts w:ascii="Microsoft YaHei UI" w:hAnsi="Microsoft YaHei UI" w:eastAsia="Microsoft YaHei UI"/>
          <w:sz w:val="22"/>
        </w:rPr>
        <w:t xml:space="preserve">以 </w:t>
      </w:r>
      <w:r>
        <w:rPr>
          <w:rFonts w:ascii="Consolas" w:hAnsi="Consolas" w:eastAsia="Consolas"/>
          <w:sz w:val="22"/>
        </w:rPr>
        <w:t>正向设计规范0312.docx</w:t>
      </w:r>
      <w:r>
        <w:rPr>
          <w:rFonts w:ascii="Microsoft YaHei UI" w:hAnsi="Microsoft YaHei UI" w:eastAsia="Microsoft YaHei UI"/>
          <w:sz w:val="22"/>
        </w:rPr>
        <w:t xml:space="preserve"> 为主，保留一汽工程指标、工创中心硬件集成与抗干扰思路、仿真平台与项目化落地要求。</w:t>
      </w:r>
    </w:p>
    <w:p>
      <w:pPr>
        <w:pStyle w:val="ListBullet"/>
        <w:ind w:left="0"/>
      </w:pPr>
      <w:r>
        <w:rPr>
          <w:rFonts w:ascii="Consolas" w:hAnsi="Consolas" w:eastAsia="Consolas"/>
          <w:sz w:val="22"/>
        </w:rPr>
        <w:t>B轨</w:t>
      </w:r>
      <w:r>
        <w:rPr>
          <w:rFonts w:ascii="Microsoft YaHei UI" w:hAnsi="Microsoft YaHei UI" w:eastAsia="Microsoft YaHei UI"/>
          <w:sz w:val="22"/>
        </w:rPr>
        <w:t>：专利-标准增强线</w:t>
      </w:r>
      <w:r>
        <w:br/>
      </w:r>
      <w:r>
        <w:rPr>
          <w:rFonts w:ascii="Microsoft YaHei UI" w:hAnsi="Microsoft YaHei UI" w:eastAsia="Microsoft YaHei UI"/>
          <w:sz w:val="22"/>
        </w:rPr>
        <w:t xml:space="preserve">以 </w:t>
      </w:r>
      <w:r>
        <w:rPr>
          <w:rFonts w:ascii="Consolas" w:hAnsi="Consolas" w:eastAsia="Consolas"/>
          <w:sz w:val="22"/>
        </w:rPr>
        <w:t>Q_FC_XXX-2025_车载低轨卫星通信系统EMC性能正向设计规范.md</w:t>
      </w:r>
      <w:r>
        <w:rPr>
          <w:rFonts w:ascii="Microsoft YaHei UI" w:hAnsi="Microsoft YaHei UI" w:eastAsia="Microsoft YaHei UI"/>
          <w:sz w:val="22"/>
        </w:rPr>
        <w:t xml:space="preserve"> 为主，保留专利映射、行业标准限值、测试判据与规范化条款表达。</w:t>
      </w:r>
    </w:p>
    <w:p>
      <w:pPr>
        <w:pStyle w:val="ListBullet"/>
        <w:ind w:left="0"/>
      </w:pPr>
      <w:r>
        <w:rPr>
          <w:rFonts w:ascii="Consolas" w:hAnsi="Consolas" w:eastAsia="Consolas"/>
          <w:sz w:val="22"/>
        </w:rPr>
        <w:t>共性层</w:t>
      </w:r>
      <w:r>
        <w:rPr>
          <w:rFonts w:ascii="Microsoft YaHei UI" w:hAnsi="Microsoft YaHei UI" w:eastAsia="Microsoft YaHei UI"/>
          <w:sz w:val="22"/>
        </w:rPr>
        <w:t>：两轨共同认可且不存在冲突的内容</w:t>
      </w:r>
      <w:r>
        <w:br/>
      </w:r>
      <w:r>
        <w:rPr>
          <w:rFonts w:ascii="Microsoft YaHei UI" w:hAnsi="Microsoft YaHei UI" w:eastAsia="Microsoft YaHei UI"/>
          <w:sz w:val="22"/>
        </w:rPr>
        <w:t>作为主文正文，直接形成统一的正向设计方案骨架。</w:t>
      </w:r>
    </w:p>
    <w:p>
      <w:pPr>
        <w:pStyle w:val="Heading2"/>
      </w:pPr>
      <w:r>
        <w:rPr>
          <w:rFonts w:ascii="Microsoft YaHei UI" w:hAnsi="Microsoft YaHei UI" w:eastAsia="Microsoft YaHei UI"/>
          <w:sz w:val="22"/>
        </w:rPr>
        <w:t>2. 合并原则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2.1 双轨一体，不做硬揉平</w:t>
      </w:r>
    </w:p>
    <w:p>
      <w:pPr>
        <w:pStyle w:val="ListBullet"/>
        <w:ind w:left="0"/>
      </w:pPr>
      <w:r>
        <w:rPr>
          <w:rFonts w:ascii="Consolas" w:hAnsi="Consolas" w:eastAsia="Consolas"/>
          <w:sz w:val="22"/>
        </w:rPr>
        <w:t>共性层</w:t>
      </w:r>
      <w:r>
        <w:rPr>
          <w:rFonts w:ascii="Microsoft YaHei UI" w:hAnsi="Microsoft YaHei UI" w:eastAsia="Microsoft YaHei UI"/>
          <w:sz w:val="22"/>
        </w:rPr>
        <w:t xml:space="preserve"> 只保留两份规范都支持的设计逻辑、基本条款和总流程。</w:t>
      </w:r>
    </w:p>
    <w:p>
      <w:pPr>
        <w:pStyle w:val="ListBullet"/>
        <w:ind w:left="0"/>
      </w:pPr>
      <w:r>
        <w:rPr>
          <w:rFonts w:ascii="Consolas" w:hAnsi="Consolas" w:eastAsia="Consolas"/>
          <w:sz w:val="22"/>
        </w:rPr>
        <w:t>A轨</w:t>
      </w:r>
      <w:r>
        <w:rPr>
          <w:rFonts w:ascii="Microsoft YaHei UI" w:hAnsi="Microsoft YaHei UI" w:eastAsia="Microsoft YaHei UI"/>
          <w:sz w:val="22"/>
        </w:rPr>
        <w:t xml:space="preserve"> 保留项目指标、工程实现细节、器件与平台选型、仿真链路与实车目标。</w:t>
      </w:r>
    </w:p>
    <w:p>
      <w:pPr>
        <w:pStyle w:val="ListBullet"/>
        <w:ind w:left="0"/>
      </w:pPr>
      <w:r>
        <w:rPr>
          <w:rFonts w:ascii="Consolas" w:hAnsi="Consolas" w:eastAsia="Consolas"/>
          <w:sz w:val="22"/>
        </w:rPr>
        <w:t>B轨</w:t>
      </w:r>
      <w:r>
        <w:rPr>
          <w:rFonts w:ascii="Microsoft YaHei UI" w:hAnsi="Microsoft YaHei UI" w:eastAsia="Microsoft YaHei UI"/>
          <w:sz w:val="22"/>
        </w:rPr>
        <w:t xml:space="preserve"> 保留可追溯的标准条款、专利支撑、试验限值、性能判据和附录化表达。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2.2 冲突处理规则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 xml:space="preserve">若 </w:t>
      </w:r>
      <w:r>
        <w:rPr>
          <w:rFonts w:ascii="Consolas" w:hAnsi="Consolas" w:eastAsia="Consolas"/>
          <w:sz w:val="22"/>
        </w:rPr>
        <w:t>A轨</w:t>
      </w:r>
      <w:r>
        <w:rPr>
          <w:rFonts w:ascii="Microsoft YaHei UI" w:hAnsi="Microsoft YaHei UI" w:eastAsia="Microsoft YaHei UI"/>
          <w:sz w:val="22"/>
        </w:rPr>
        <w:t xml:space="preserve"> 是更严或更可落地的工程指标，内部研发阶段优先采用 </w:t>
      </w:r>
      <w:r>
        <w:rPr>
          <w:rFonts w:ascii="Consolas" w:hAnsi="Consolas" w:eastAsia="Consolas"/>
          <w:sz w:val="22"/>
        </w:rPr>
        <w:t>A轨</w:t>
      </w:r>
      <w:r>
        <w:rPr>
          <w:rFonts w:ascii="Microsoft YaHei UI" w:hAnsi="Microsoft YaHei UI" w:eastAsia="Microsoft YaHei UI"/>
          <w:sz w:val="22"/>
        </w:rPr>
        <w:t>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 xml:space="preserve">若 </w:t>
      </w:r>
      <w:r>
        <w:rPr>
          <w:rFonts w:ascii="Consolas" w:hAnsi="Consolas" w:eastAsia="Consolas"/>
          <w:sz w:val="22"/>
        </w:rPr>
        <w:t>B轨</w:t>
      </w:r>
      <w:r>
        <w:rPr>
          <w:rFonts w:ascii="Microsoft YaHei UI" w:hAnsi="Microsoft YaHei UI" w:eastAsia="Microsoft YaHei UI"/>
          <w:sz w:val="22"/>
        </w:rPr>
        <w:t xml:space="preserve"> 是标准明确限值或测试判据，对外发布、评审、立项和验收阶段优先采用 </w:t>
      </w:r>
      <w:r>
        <w:rPr>
          <w:rFonts w:ascii="Consolas" w:hAnsi="Consolas" w:eastAsia="Consolas"/>
          <w:sz w:val="22"/>
        </w:rPr>
        <w:t>B轨</w:t>
      </w:r>
      <w:r>
        <w:rPr>
          <w:rFonts w:ascii="Microsoft YaHei UI" w:hAnsi="Microsoft YaHei UI" w:eastAsia="Microsoft YaHei UI"/>
          <w:sz w:val="22"/>
        </w:rPr>
        <w:t>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 xml:space="preserve">若两者不冲突，则正文写 </w:t>
      </w:r>
      <w:r>
        <w:rPr>
          <w:rFonts w:ascii="Consolas" w:hAnsi="Consolas" w:eastAsia="Consolas"/>
          <w:sz w:val="22"/>
        </w:rPr>
        <w:t>共性要求</w:t>
      </w:r>
      <w:r>
        <w:rPr>
          <w:rFonts w:ascii="Microsoft YaHei UI" w:hAnsi="Microsoft YaHei UI" w:eastAsia="Microsoft YaHei UI"/>
          <w:sz w:val="22"/>
        </w:rPr>
        <w:t>，</w:t>
      </w:r>
      <w:r>
        <w:rPr>
          <w:rFonts w:ascii="Consolas" w:hAnsi="Consolas" w:eastAsia="Consolas"/>
          <w:sz w:val="22"/>
        </w:rPr>
        <w:t>A轨/B轨</w:t>
      </w:r>
      <w:r>
        <w:rPr>
          <w:rFonts w:ascii="Microsoft YaHei UI" w:hAnsi="Microsoft YaHei UI" w:eastAsia="Microsoft YaHei UI"/>
          <w:sz w:val="22"/>
        </w:rPr>
        <w:t xml:space="preserve"> 分别放入对应子条款或资料性附录。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2.3 推荐成文方式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正文采用三段式写法：</w:t>
      </w:r>
      <w:r>
        <w:rPr>
          <w:rFonts w:ascii="Consolas" w:hAnsi="Consolas" w:eastAsia="Consolas"/>
          <w:sz w:val="22"/>
        </w:rPr>
        <w:t>共性要求</w:t>
      </w:r>
      <w:r>
        <w:rPr>
          <w:rFonts w:ascii="Microsoft YaHei UI" w:hAnsi="Microsoft YaHei UI" w:eastAsia="Microsoft YaHei UI"/>
          <w:sz w:val="22"/>
        </w:rPr>
        <w:t>、</w:t>
      </w:r>
      <w:r>
        <w:rPr>
          <w:rFonts w:ascii="Consolas" w:hAnsi="Consolas" w:eastAsia="Consolas"/>
          <w:sz w:val="22"/>
        </w:rPr>
        <w:t>A轨实施要求</w:t>
      </w:r>
      <w:r>
        <w:rPr>
          <w:rFonts w:ascii="Microsoft YaHei UI" w:hAnsi="Microsoft YaHei UI" w:eastAsia="Microsoft YaHei UI"/>
          <w:sz w:val="22"/>
        </w:rPr>
        <w:t>、</w:t>
      </w:r>
      <w:r>
        <w:rPr>
          <w:rFonts w:ascii="Consolas" w:hAnsi="Consolas" w:eastAsia="Consolas"/>
          <w:sz w:val="22"/>
        </w:rPr>
        <w:t>B轨增强要求</w:t>
      </w:r>
      <w:r>
        <w:rPr>
          <w:rFonts w:ascii="Microsoft YaHei UI" w:hAnsi="Microsoft YaHei UI" w:eastAsia="Microsoft YaHei UI"/>
          <w:sz w:val="22"/>
        </w:rPr>
        <w:t>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 xml:space="preserve">不再把 </w:t>
      </w:r>
      <w:r>
        <w:rPr>
          <w:rFonts w:ascii="Consolas" w:hAnsi="Consolas" w:eastAsia="Consolas"/>
          <w:sz w:val="22"/>
        </w:rPr>
        <w:t>A轨</w:t>
      </w:r>
      <w:r>
        <w:rPr>
          <w:rFonts w:ascii="Microsoft YaHei UI" w:hAnsi="Microsoft YaHei UI" w:eastAsia="Microsoft YaHei UI"/>
          <w:sz w:val="22"/>
        </w:rPr>
        <w:t xml:space="preserve"> 和 </w:t>
      </w:r>
      <w:r>
        <w:rPr>
          <w:rFonts w:ascii="Consolas" w:hAnsi="Consolas" w:eastAsia="Consolas"/>
          <w:sz w:val="22"/>
        </w:rPr>
        <w:t>B轨</w:t>
      </w:r>
      <w:r>
        <w:rPr>
          <w:rFonts w:ascii="Microsoft YaHei UI" w:hAnsi="Microsoft YaHei UI" w:eastAsia="Microsoft YaHei UI"/>
          <w:sz w:val="22"/>
        </w:rPr>
        <w:t xml:space="preserve"> 分成两份完全独立的全文，而是在每一设计层内保持并列。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 xml:space="preserve">对外若需要标准稿，可直接抽取 </w:t>
      </w:r>
      <w:r>
        <w:rPr>
          <w:rFonts w:ascii="Consolas" w:hAnsi="Consolas" w:eastAsia="Consolas"/>
          <w:sz w:val="22"/>
        </w:rPr>
        <w:t>共性层 + B轨</w:t>
      </w:r>
      <w:r>
        <w:rPr>
          <w:rFonts w:ascii="Microsoft YaHei UI" w:hAnsi="Microsoft YaHei UI" w:eastAsia="Microsoft YaHei UI"/>
          <w:sz w:val="22"/>
        </w:rPr>
        <w:t>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 xml:space="preserve">对内若需要工程实施稿，可直接抽取 </w:t>
      </w:r>
      <w:r>
        <w:rPr>
          <w:rFonts w:ascii="Consolas" w:hAnsi="Consolas" w:eastAsia="Consolas"/>
          <w:sz w:val="22"/>
        </w:rPr>
        <w:t>共性层 + A轨</w:t>
      </w:r>
      <w:r>
        <w:rPr>
          <w:rFonts w:ascii="Microsoft YaHei UI" w:hAnsi="Microsoft YaHei UI" w:eastAsia="Microsoft YaHei UI"/>
          <w:sz w:val="22"/>
        </w:rPr>
        <w:t>。</w:t>
      </w:r>
    </w:p>
    <w:p>
      <w:pPr>
        <w:pStyle w:val="Heading2"/>
      </w:pPr>
      <w:r>
        <w:rPr>
          <w:rFonts w:ascii="Microsoft YaHei UI" w:hAnsi="Microsoft YaHei UI" w:eastAsia="Microsoft YaHei UI"/>
          <w:sz w:val="22"/>
        </w:rPr>
        <w:t>3. 统一后的总体目标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3.1 共性目标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在设计初期完成“预测-规避-抑制-验证”的闭环，而不是依赖后期整改。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覆盖系统架构、天线与射频前端、硬件平台、线束布局、测试验证五个层面。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满足车载低轨卫星通信系统在复杂车载电磁环境中的发射合规、抗扰可用和业务连续。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3.2 A轨工程目标</w:t>
      </w:r>
    </w:p>
    <w:p>
      <w:r>
        <w:rPr>
          <w:rFonts w:ascii="Consolas" w:hAnsi="Consolas" w:eastAsia="Consolas"/>
          <w:sz w:val="22"/>
        </w:rPr>
        <w:t>A轨</w:t>
      </w:r>
      <w:r>
        <w:rPr>
          <w:rFonts w:ascii="Microsoft YaHei UI" w:hAnsi="Microsoft YaHei UI" w:eastAsia="Microsoft YaHei UI"/>
          <w:sz w:val="22"/>
        </w:rPr>
        <w:t xml:space="preserve"> 建议继续保留以下工程指标，作为项目化实施目标：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</w:r>
            <w:r>
              <w:rPr>
                <w:rFonts w:ascii="Microsoft YaHei UI" w:hAnsi="Microsoft YaHei UI" w:eastAsia="Microsoft YaHei UI"/>
                <w:b/>
                <w:sz w:val="22"/>
              </w:rPr>
              <w:t>指标项</w:t>
            </w:r>
          </w:p>
        </w:tc>
        <w:tc>
          <w:tcPr>
            <w:tcW w:type="dxa" w:w="4561"/>
          </w:tcPr>
          <w:p>
            <w:r>
              <w:rPr>
                <w:b/>
              </w:rPr>
            </w:r>
            <w:r>
              <w:rPr>
                <w:rFonts w:ascii="Microsoft YaHei UI" w:hAnsi="Microsoft YaHei UI" w:eastAsia="Microsoft YaHei UI"/>
                <w:b/>
                <w:sz w:val="22"/>
              </w:rPr>
              <w:t>建议目标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数据通信频率</w:t>
            </w:r>
          </w:p>
        </w:tc>
        <w:tc>
          <w:tcPr>
            <w:tcW w:type="dxa" w:w="4561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上行 1.6 GHz / 下行 1.5 GHz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语音业务速率</w:t>
            </w:r>
          </w:p>
        </w:tc>
        <w:tc>
          <w:tcPr>
            <w:tcW w:type="dxa" w:w="4561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≥ 2.4 kbps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接收灵敏度</w:t>
            </w:r>
          </w:p>
        </w:tc>
        <w:tc>
          <w:tcPr>
            <w:tcW w:type="dxa" w:w="4561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优于 -120 dBm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宽带通信速率</w:t>
            </w:r>
          </w:p>
        </w:tc>
        <w:tc>
          <w:tcPr>
            <w:tcW w:type="dxa" w:w="4561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&gt; 20 Mbps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Ku波段 EIRP（含天线罩）</w:t>
            </w:r>
          </w:p>
        </w:tc>
        <w:tc>
          <w:tcPr>
            <w:tcW w:type="dxa" w:w="4561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≥ 1 dBw（仰角 ≥ 10°）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Ku波段 G/T（含天线罩）</w:t>
            </w:r>
          </w:p>
        </w:tc>
        <w:tc>
          <w:tcPr>
            <w:tcW w:type="dxa" w:w="4561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≥ -27.5 dB/K（仰角 ≥ 10°）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路测通信信噪比</w:t>
            </w:r>
          </w:p>
        </w:tc>
        <w:tc>
          <w:tcPr>
            <w:tcW w:type="dxa" w:w="4561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≥ 1 dB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路测信号强度</w:t>
            </w:r>
          </w:p>
        </w:tc>
        <w:tc>
          <w:tcPr>
            <w:tcW w:type="dxa" w:w="4561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≥ 1 dBm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抗多普勒频率变化率</w:t>
            </w:r>
          </w:p>
        </w:tc>
        <w:tc>
          <w:tcPr>
            <w:tcW w:type="dxa" w:w="4561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300 Hz/s</w:t>
            </w:r>
          </w:p>
        </w:tc>
      </w:tr>
    </w:tbl>
    <w:p/>
    <w:p>
      <w:pPr>
        <w:pStyle w:val="Heading3"/>
      </w:pPr>
      <w:r>
        <w:rPr>
          <w:rFonts w:ascii="Microsoft YaHei UI" w:hAnsi="Microsoft YaHei UI" w:eastAsia="Microsoft YaHei UI"/>
          <w:sz w:val="22"/>
        </w:rPr>
        <w:t>3.3 B轨合规目标</w:t>
      </w:r>
    </w:p>
    <w:p>
      <w:r>
        <w:rPr>
          <w:rFonts w:ascii="Consolas" w:hAnsi="Consolas" w:eastAsia="Consolas"/>
          <w:sz w:val="22"/>
        </w:rPr>
        <w:t>B轨</w:t>
      </w:r>
      <w:r>
        <w:rPr>
          <w:rFonts w:ascii="Microsoft YaHei UI" w:hAnsi="Microsoft YaHei UI" w:eastAsia="Microsoft YaHei UI"/>
          <w:sz w:val="22"/>
        </w:rPr>
        <w:t xml:space="preserve"> 建议继续保留以下合规目标，作为标准化与验收目标：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 xml:space="preserve">满足 </w:t>
      </w:r>
      <w:r>
        <w:rPr>
          <w:rFonts w:ascii="Consolas" w:hAnsi="Consolas" w:eastAsia="Consolas"/>
          <w:sz w:val="22"/>
        </w:rPr>
        <w:t>YD/T 4517.4-2024</w:t>
      </w:r>
      <w:r>
        <w:rPr>
          <w:rFonts w:ascii="Microsoft YaHei UI" w:hAnsi="Microsoft YaHei UI" w:eastAsia="Microsoft YaHei UI"/>
          <w:sz w:val="22"/>
        </w:rPr>
        <w:t xml:space="preserve"> 对辐射杂散、辐射骚扰、传导骚扰、ESD、辐射抗扰度、BCI、电瞬态的要求。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 xml:space="preserve">保持 </w:t>
      </w:r>
      <w:r>
        <w:rPr>
          <w:rFonts w:ascii="Consolas" w:hAnsi="Consolas" w:eastAsia="Consolas"/>
          <w:sz w:val="22"/>
        </w:rPr>
        <w:t>性能判据A/B/C</w:t>
      </w:r>
      <w:r>
        <w:rPr>
          <w:rFonts w:ascii="Microsoft YaHei UI" w:hAnsi="Microsoft YaHei UI" w:eastAsia="Microsoft YaHei UI"/>
          <w:sz w:val="22"/>
        </w:rPr>
        <w:t xml:space="preserve"> 的完整表达和试验适用边界。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保持专利与条款的可追溯关系，便于立项说明、标准评审和知识产权风险识别。</w:t>
      </w:r>
    </w:p>
    <w:p>
      <w:pPr>
        <w:pStyle w:val="Heading2"/>
      </w:pPr>
      <w:r>
        <w:rPr>
          <w:rFonts w:ascii="Microsoft YaHei UI" w:hAnsi="Microsoft YaHei UI" w:eastAsia="Microsoft YaHei UI"/>
          <w:sz w:val="22"/>
        </w:rPr>
        <w:t>4. 统一后的总技术路线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4.1 主线流程</w:t>
      </w:r>
    </w:p>
    <w:p>
      <w:pPr>
        <w:pStyle w:val="ListNumber"/>
        <w:ind w:left="0"/>
      </w:pPr>
      <w:r>
        <w:rPr>
          <w:rFonts w:ascii="Microsoft YaHei UI" w:hAnsi="Microsoft YaHei UI" w:eastAsia="Microsoft YaHei UI"/>
          <w:sz w:val="22"/>
        </w:rPr>
        <w:t>识别系统共存对象与干扰路径。</w:t>
      </w:r>
    </w:p>
    <w:p>
      <w:pPr>
        <w:pStyle w:val="ListNumber"/>
        <w:ind w:left="0"/>
      </w:pPr>
      <w:r>
        <w:rPr>
          <w:rFonts w:ascii="Microsoft YaHei UI" w:hAnsi="Microsoft YaHei UI" w:eastAsia="Microsoft YaHei UI"/>
          <w:sz w:val="22"/>
        </w:rPr>
        <w:t>在系统架构层先做规避，再在天线、硬件、线束层做抑制。</w:t>
      </w:r>
    </w:p>
    <w:p>
      <w:pPr>
        <w:pStyle w:val="ListNumber"/>
        <w:ind w:left="0"/>
      </w:pPr>
      <w:r>
        <w:rPr>
          <w:rFonts w:ascii="Microsoft YaHei UI" w:hAnsi="Microsoft YaHei UI" w:eastAsia="Microsoft YaHei UI"/>
          <w:sz w:val="22"/>
        </w:rPr>
        <w:t>用仿真提前暴露最不利工况。</w:t>
      </w:r>
    </w:p>
    <w:p>
      <w:pPr>
        <w:pStyle w:val="ListNumber"/>
        <w:ind w:left="0"/>
      </w:pPr>
      <w:r>
        <w:rPr>
          <w:rFonts w:ascii="Microsoft YaHei UI" w:hAnsi="Microsoft YaHei UI" w:eastAsia="Microsoft YaHei UI"/>
          <w:sz w:val="22"/>
        </w:rPr>
        <w:t>用标准化测试完成验收闭环。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4.2 双轨分工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</w:rPr>
            </w:r>
            <w:r>
              <w:rPr>
                <w:rFonts w:ascii="Microsoft YaHei UI" w:hAnsi="Microsoft YaHei UI" w:eastAsia="Microsoft YaHei UI"/>
                <w:b/>
                <w:sz w:val="22"/>
              </w:rPr>
              <w:t>层级</w:t>
            </w:r>
          </w:p>
        </w:tc>
        <w:tc>
          <w:tcPr>
            <w:tcW w:type="dxa" w:w="2280"/>
          </w:tcPr>
          <w:p>
            <w:r>
              <w:rPr>
                <w:b/>
              </w:rPr>
            </w:r>
            <w:r>
              <w:rPr>
                <w:rFonts w:ascii="Microsoft YaHei UI" w:hAnsi="Microsoft YaHei UI" w:eastAsia="Microsoft YaHei UI"/>
                <w:b/>
                <w:sz w:val="22"/>
              </w:rPr>
              <w:t>共性层角色</w:t>
            </w:r>
          </w:p>
        </w:tc>
        <w:tc>
          <w:tcPr>
            <w:tcW w:type="dxa" w:w="2280"/>
          </w:tcPr>
          <w:p>
            <w:r>
              <w:rPr>
                <w:b/>
              </w:rPr>
            </w:r>
            <w:r>
              <w:rPr>
                <w:rFonts w:ascii="Microsoft YaHei UI" w:hAnsi="Microsoft YaHei UI" w:eastAsia="Microsoft YaHei UI"/>
                <w:b/>
                <w:sz w:val="22"/>
              </w:rPr>
              <w:t>A轨角色</w:t>
            </w:r>
          </w:p>
        </w:tc>
        <w:tc>
          <w:tcPr>
            <w:tcW w:type="dxa" w:w="2280"/>
          </w:tcPr>
          <w:p>
            <w:r>
              <w:rPr>
                <w:b/>
              </w:rPr>
            </w:r>
            <w:r>
              <w:rPr>
                <w:rFonts w:ascii="Microsoft YaHei UI" w:hAnsi="Microsoft YaHei UI" w:eastAsia="Microsoft YaHei UI"/>
                <w:b/>
                <w:sz w:val="22"/>
              </w:rPr>
              <w:t>B轨角色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系统架构</w:t>
            </w:r>
          </w:p>
        </w:tc>
        <w:tc>
          <w:tcPr>
            <w:tcW w:type="dxa" w:w="2280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定义共存与调度骨架</w:t>
            </w:r>
          </w:p>
        </w:tc>
        <w:tc>
          <w:tcPr>
            <w:tcW w:type="dxa" w:w="2280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落到项目工作模式与实车场景</w:t>
            </w:r>
          </w:p>
        </w:tc>
        <w:tc>
          <w:tcPr>
            <w:tcW w:type="dxa" w:w="2280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落到专利与标准条款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天线射频</w:t>
            </w:r>
          </w:p>
        </w:tc>
        <w:tc>
          <w:tcPr>
            <w:tcW w:type="dxa" w:w="2280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定义方向性、滤波、布局</w:t>
            </w:r>
          </w:p>
        </w:tc>
        <w:tc>
          <w:tcPr>
            <w:tcW w:type="dxa" w:w="2280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落到性能指标、算法响应、器件参数</w:t>
            </w:r>
          </w:p>
        </w:tc>
        <w:tc>
          <w:tcPr>
            <w:tcW w:type="dxa" w:w="2280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落到辐射限值与专利映射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硬件平台</w:t>
            </w:r>
          </w:p>
        </w:tc>
        <w:tc>
          <w:tcPr>
            <w:tcW w:type="dxa" w:w="2280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定义屏蔽、接地、电源框架</w:t>
            </w:r>
          </w:p>
        </w:tc>
        <w:tc>
          <w:tcPr>
            <w:tcW w:type="dxa" w:w="2280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落到屏蔽罩、材料、效率、输入范围</w:t>
            </w:r>
          </w:p>
        </w:tc>
        <w:tc>
          <w:tcPr>
            <w:tcW w:type="dxa" w:w="2280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落到抗扰度和瞬态试验要求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线束布局</w:t>
            </w:r>
          </w:p>
        </w:tc>
        <w:tc>
          <w:tcPr>
            <w:tcW w:type="dxa" w:w="2280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定义布线与搭铁原则</w:t>
            </w:r>
          </w:p>
        </w:tc>
        <w:tc>
          <w:tcPr>
            <w:tcW w:type="dxa" w:w="2280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落到间距、绞距、端接方式</w:t>
            </w:r>
          </w:p>
        </w:tc>
        <w:tc>
          <w:tcPr>
            <w:tcW w:type="dxa" w:w="2280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落到BCI与瞬态抗扰试验边界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测试验证</w:t>
            </w:r>
          </w:p>
        </w:tc>
        <w:tc>
          <w:tcPr>
            <w:tcW w:type="dxa" w:w="2280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定义验证闭环</w:t>
            </w:r>
          </w:p>
        </w:tc>
        <w:tc>
          <w:tcPr>
            <w:tcW w:type="dxa" w:w="2280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落到仿真平台与模型库</w:t>
            </w:r>
          </w:p>
        </w:tc>
        <w:tc>
          <w:tcPr>
            <w:tcW w:type="dxa" w:w="2280"/>
          </w:tcPr>
          <w:p>
            <w:r/>
            <w:r>
              <w:rPr>
                <w:rFonts w:ascii="Microsoft YaHei UI" w:hAnsi="Microsoft YaHei UI" w:eastAsia="Microsoft YaHei UI"/>
                <w:sz w:val="22"/>
              </w:rPr>
              <w:t>落到标准方法、限值和判据</w:t>
            </w:r>
          </w:p>
        </w:tc>
      </w:tr>
    </w:tbl>
    <w:p/>
    <w:p>
      <w:pPr>
        <w:pStyle w:val="Heading2"/>
      </w:pPr>
      <w:r>
        <w:rPr>
          <w:rFonts w:ascii="Microsoft YaHei UI" w:hAnsi="Microsoft YaHei UI" w:eastAsia="Microsoft YaHei UI"/>
          <w:sz w:val="22"/>
        </w:rPr>
        <w:t>5. 系统架构层合并方案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5.1 共性要求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在设计初期识别卫星通信、GNSS、4G/5G、Wi-Fi、蓝牙等共存模块之间的频域、时域与空间干扰关系。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建立统一的资源调度和通信状态管理机制，避免多模块无序并发。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将时域隔离、网络切换、多通道管理和免测频段规划写入系统级设计要求。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5.2 A轨实施要求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将自干扰分析前移到方案阶段，明确最不利工况而不是仅在样机阶段排查。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当卫星发射抑制 GNSS 时，应保留惯性导航等备份手段，保证基本定位能力连续。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结合实车使用场景，对高速行驶、多普勒变化和网络切换时延做联合分析。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在仿真阶段直接评估卫星通信模块、定位模块、蜂窝模块共存下的业务连续性。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5.3 B轨增强要求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采用专利化表达保留时域隔离机制、卫星/蜂窝切换逻辑和多数据通道选择逻辑。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明确发信机免测频段和性能判据A的标准边界，避免条款口径模糊。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 xml:space="preserve">继续保留对 </w:t>
      </w:r>
      <w:r>
        <w:rPr>
          <w:rFonts w:ascii="Consolas" w:hAnsi="Consolas" w:eastAsia="Consolas"/>
          <w:sz w:val="22"/>
        </w:rPr>
        <w:t>CN202410892217.1</w:t>
      </w:r>
      <w:r>
        <w:rPr>
          <w:rFonts w:ascii="Microsoft YaHei UI" w:hAnsi="Microsoft YaHei UI" w:eastAsia="Microsoft YaHei UI"/>
          <w:sz w:val="22"/>
        </w:rPr>
        <w:t>、</w:t>
      </w:r>
      <w:r>
        <w:rPr>
          <w:rFonts w:ascii="Consolas" w:hAnsi="Consolas" w:eastAsia="Consolas"/>
          <w:sz w:val="22"/>
        </w:rPr>
        <w:t>CN202411493441.X</w:t>
      </w:r>
      <w:r>
        <w:rPr>
          <w:rFonts w:ascii="Microsoft YaHei UI" w:hAnsi="Microsoft YaHei UI" w:eastAsia="Microsoft YaHei UI"/>
          <w:sz w:val="22"/>
        </w:rPr>
        <w:t>、</w:t>
      </w:r>
      <w:r>
        <w:rPr>
          <w:rFonts w:ascii="Consolas" w:hAnsi="Consolas" w:eastAsia="Consolas"/>
          <w:sz w:val="22"/>
        </w:rPr>
        <w:t>CN202311559261.2</w:t>
      </w:r>
      <w:r>
        <w:rPr>
          <w:rFonts w:ascii="Microsoft YaHei UI" w:hAnsi="Microsoft YaHei UI" w:eastAsia="Microsoft YaHei UI"/>
          <w:sz w:val="22"/>
        </w:rPr>
        <w:t xml:space="preserve"> 的映射关系。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5.4 合并写法建议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正文写“系统级共存设计要求”。</w:t>
      </w:r>
    </w:p>
    <w:p>
      <w:pPr>
        <w:pStyle w:val="ListBullet"/>
        <w:ind w:left="0"/>
      </w:pPr>
      <w:r>
        <w:rPr>
          <w:rFonts w:ascii="Consolas" w:hAnsi="Consolas" w:eastAsia="Consolas"/>
          <w:sz w:val="22"/>
        </w:rPr>
        <w:t>A轨</w:t>
      </w:r>
      <w:r>
        <w:rPr>
          <w:rFonts w:ascii="Microsoft YaHei UI" w:hAnsi="Microsoft YaHei UI" w:eastAsia="Microsoft YaHei UI"/>
          <w:sz w:val="22"/>
        </w:rPr>
        <w:t xml:space="preserve"> 子条款写“实车场景与业务连续性保障”。</w:t>
      </w:r>
    </w:p>
    <w:p>
      <w:pPr>
        <w:pStyle w:val="ListBullet"/>
        <w:ind w:left="0"/>
      </w:pPr>
      <w:r>
        <w:rPr>
          <w:rFonts w:ascii="Consolas" w:hAnsi="Consolas" w:eastAsia="Consolas"/>
          <w:sz w:val="22"/>
        </w:rPr>
        <w:t>B轨</w:t>
      </w:r>
      <w:r>
        <w:rPr>
          <w:rFonts w:ascii="Microsoft YaHei UI" w:hAnsi="Microsoft YaHei UI" w:eastAsia="Microsoft YaHei UI"/>
          <w:sz w:val="22"/>
        </w:rPr>
        <w:t xml:space="preserve"> 子条款写“条款来源与合规边界”。</w:t>
      </w:r>
    </w:p>
    <w:p>
      <w:pPr>
        <w:pStyle w:val="Heading2"/>
      </w:pPr>
      <w:r>
        <w:rPr>
          <w:rFonts w:ascii="Microsoft YaHei UI" w:hAnsi="Microsoft YaHei UI" w:eastAsia="Microsoft YaHei UI"/>
          <w:sz w:val="22"/>
        </w:rPr>
        <w:t>6. 天线与射频前端层合并方案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6.1 共性要求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采用多阵元平面阵列天线或同等空间选择性方案。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天线优先布置于车顶，主辐射方向朝向外部空域。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射频链路应配置滤波、双工和必要的带外抑制措施。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天线与射频前端需同时考虑发射约束与接收保护。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6.2 A轨实施要求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 xml:space="preserve">多天线之间隔离度建议按自干扰分析结果控制，工程上宜不低于 </w:t>
      </w:r>
      <w:r>
        <w:rPr>
          <w:rFonts w:ascii="Consolas" w:hAnsi="Consolas" w:eastAsia="Consolas"/>
          <w:sz w:val="22"/>
        </w:rPr>
        <w:t>30 dB</w:t>
      </w:r>
      <w:r>
        <w:rPr>
          <w:rFonts w:ascii="Microsoft YaHei UI" w:hAnsi="Microsoft YaHei UI" w:eastAsia="Microsoft YaHei UI"/>
          <w:sz w:val="22"/>
        </w:rPr>
        <w:t>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 xml:space="preserve">保留 Ku 波段 </w:t>
      </w:r>
      <w:r>
        <w:rPr>
          <w:rFonts w:ascii="Consolas" w:hAnsi="Consolas" w:eastAsia="Consolas"/>
          <w:sz w:val="22"/>
        </w:rPr>
        <w:t>EIRP</w:t>
      </w:r>
      <w:r>
        <w:rPr>
          <w:rFonts w:ascii="Microsoft YaHei UI" w:hAnsi="Microsoft YaHei UI" w:eastAsia="Microsoft YaHei UI"/>
          <w:sz w:val="22"/>
        </w:rPr>
        <w:t>、</w:t>
      </w:r>
      <w:r>
        <w:rPr>
          <w:rFonts w:ascii="Consolas" w:hAnsi="Consolas" w:eastAsia="Consolas"/>
          <w:sz w:val="22"/>
        </w:rPr>
        <w:t>G/T</w:t>
      </w:r>
      <w:r>
        <w:rPr>
          <w:rFonts w:ascii="Microsoft YaHei UI" w:hAnsi="Microsoft YaHei UI" w:eastAsia="Microsoft YaHei UI"/>
          <w:sz w:val="22"/>
        </w:rPr>
        <w:t xml:space="preserve">、路测 </w:t>
      </w:r>
      <w:r>
        <w:rPr>
          <w:rFonts w:ascii="Consolas" w:hAnsi="Consolas" w:eastAsia="Consolas"/>
          <w:sz w:val="22"/>
        </w:rPr>
        <w:t>SNR</w:t>
      </w:r>
      <w:r>
        <w:rPr>
          <w:rFonts w:ascii="Microsoft YaHei UI" w:hAnsi="Microsoft YaHei UI" w:eastAsia="Microsoft YaHei UI"/>
          <w:sz w:val="22"/>
        </w:rPr>
        <w:t>、信号强度等项目指标。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 xml:space="preserve">波束赋形算法应兼顾实时性与抗干扰能力，响应时间建议 </w:t>
      </w:r>
      <w:r>
        <w:rPr>
          <w:rFonts w:ascii="Consolas" w:hAnsi="Consolas" w:eastAsia="Consolas"/>
          <w:sz w:val="22"/>
        </w:rPr>
        <w:t>≤ 100 ms</w:t>
      </w:r>
      <w:r>
        <w:rPr>
          <w:rFonts w:ascii="Microsoft YaHei UI" w:hAnsi="Microsoft YaHei UI" w:eastAsia="Microsoft YaHei UI"/>
          <w:sz w:val="22"/>
        </w:rPr>
        <w:t>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 xml:space="preserve">对已知干扰方向，零陷深度建议 </w:t>
      </w:r>
      <w:r>
        <w:rPr>
          <w:rFonts w:ascii="Consolas" w:hAnsi="Consolas" w:eastAsia="Consolas"/>
          <w:sz w:val="22"/>
        </w:rPr>
        <w:t>≥ 20 dB</w:t>
      </w:r>
      <w:r>
        <w:rPr>
          <w:rFonts w:ascii="Microsoft YaHei UI" w:hAnsi="Microsoft YaHei UI" w:eastAsia="Microsoft YaHei UI"/>
          <w:sz w:val="22"/>
        </w:rPr>
        <w:t xml:space="preserve">，自适应收敛时间建议 </w:t>
      </w:r>
      <w:r>
        <w:rPr>
          <w:rFonts w:ascii="Consolas" w:hAnsi="Consolas" w:eastAsia="Consolas"/>
          <w:sz w:val="22"/>
        </w:rPr>
        <w:t>≤ 10 ms</w:t>
      </w:r>
      <w:r>
        <w:rPr>
          <w:rFonts w:ascii="Microsoft YaHei UI" w:hAnsi="Microsoft YaHei UI" w:eastAsia="Microsoft YaHei UI"/>
          <w:sz w:val="22"/>
        </w:rPr>
        <w:t>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 xml:space="preserve">发射链路滤波器可继续采用“插入损耗 </w:t>
      </w:r>
      <w:r>
        <w:rPr>
          <w:rFonts w:ascii="Consolas" w:hAnsi="Consolas" w:eastAsia="Consolas"/>
          <w:sz w:val="22"/>
        </w:rPr>
        <w:t>≤ 1.5 dB</w:t>
      </w:r>
      <w:r>
        <w:rPr>
          <w:rFonts w:ascii="Microsoft YaHei UI" w:hAnsi="Microsoft YaHei UI" w:eastAsia="Microsoft YaHei UI"/>
          <w:sz w:val="22"/>
        </w:rPr>
        <w:t xml:space="preserve">、带外抑制 </w:t>
      </w:r>
      <w:r>
        <w:rPr>
          <w:rFonts w:ascii="Consolas" w:hAnsi="Consolas" w:eastAsia="Consolas"/>
          <w:sz w:val="22"/>
        </w:rPr>
        <w:t>≥ 40 dB @ ±2倍信道带宽</w:t>
      </w:r>
      <w:r>
        <w:rPr>
          <w:rFonts w:ascii="Microsoft YaHei UI" w:hAnsi="Microsoft YaHei UI" w:eastAsia="Microsoft YaHei UI"/>
          <w:sz w:val="22"/>
        </w:rPr>
        <w:t>”的工程要求。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 xml:space="preserve">接收链路建议保留 </w:t>
      </w:r>
      <w:r>
        <w:rPr>
          <w:rFonts w:ascii="Consolas" w:hAnsi="Consolas" w:eastAsia="Consolas"/>
          <w:sz w:val="22"/>
        </w:rPr>
        <w:t>NF ≤ 2 dB</w:t>
      </w:r>
      <w:r>
        <w:rPr>
          <w:rFonts w:ascii="Microsoft YaHei UI" w:hAnsi="Microsoft YaHei UI" w:eastAsia="Microsoft YaHei UI"/>
          <w:sz w:val="22"/>
        </w:rPr>
        <w:t xml:space="preserve"> 的目标。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天线馈线、控制线的屏蔽和 360° 端接要求应继续保留。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6.3 B轨增强要求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 xml:space="preserve">保留相邻天线单元在 </w:t>
      </w:r>
      <w:r>
        <w:rPr>
          <w:rFonts w:ascii="Consolas" w:hAnsi="Consolas" w:eastAsia="Consolas"/>
          <w:sz w:val="22"/>
        </w:rPr>
        <w:t>-5 dB</w:t>
      </w:r>
      <w:r>
        <w:rPr>
          <w:rFonts w:ascii="Microsoft YaHei UI" w:hAnsi="Microsoft YaHei UI" w:eastAsia="Microsoft YaHei UI"/>
          <w:sz w:val="22"/>
        </w:rPr>
        <w:t xml:space="preserve"> 处重叠、合成波束覆盖 </w:t>
      </w:r>
      <w:r>
        <w:rPr>
          <w:rFonts w:ascii="Consolas" w:hAnsi="Consolas" w:eastAsia="Consolas"/>
          <w:sz w:val="22"/>
        </w:rPr>
        <w:t>30°～150°</w:t>
      </w:r>
      <w:r>
        <w:rPr>
          <w:rFonts w:ascii="Microsoft YaHei UI" w:hAnsi="Microsoft YaHei UI" w:eastAsia="Microsoft YaHei UI"/>
          <w:sz w:val="22"/>
        </w:rPr>
        <w:t xml:space="preserve"> 仰角范围的条款表达。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 xml:space="preserve">保留辐射杂散 </w:t>
      </w:r>
      <w:r>
        <w:rPr>
          <w:rFonts w:ascii="Consolas" w:hAnsi="Consolas" w:eastAsia="Consolas"/>
          <w:sz w:val="22"/>
        </w:rPr>
        <w:t>30 MHz～1 GHz：-36 dBm</w:t>
      </w:r>
      <w:r>
        <w:rPr>
          <w:rFonts w:ascii="Microsoft YaHei UI" w:hAnsi="Microsoft YaHei UI" w:eastAsia="Microsoft YaHei UI"/>
          <w:sz w:val="22"/>
        </w:rPr>
        <w:t>、</w:t>
      </w:r>
      <w:r>
        <w:rPr>
          <w:rFonts w:ascii="Consolas" w:hAnsi="Consolas" w:eastAsia="Consolas"/>
          <w:sz w:val="22"/>
        </w:rPr>
        <w:t>&gt;1 GHz：-30 dBm</w:t>
      </w:r>
      <w:r>
        <w:rPr>
          <w:rFonts w:ascii="Microsoft YaHei UI" w:hAnsi="Microsoft YaHei UI" w:eastAsia="Microsoft YaHei UI"/>
          <w:sz w:val="22"/>
        </w:rPr>
        <w:t xml:space="preserve"> 的标准限值口径。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 xml:space="preserve">保留辐射抗扰度 </w:t>
      </w:r>
      <w:r>
        <w:rPr>
          <w:rFonts w:ascii="Consolas" w:hAnsi="Consolas" w:eastAsia="Consolas"/>
          <w:sz w:val="22"/>
        </w:rPr>
        <w:t>400 MHz～6 GHz</w:t>
      </w:r>
      <w:r>
        <w:rPr>
          <w:rFonts w:ascii="Microsoft YaHei UI" w:hAnsi="Microsoft YaHei UI" w:eastAsia="Microsoft YaHei UI"/>
          <w:sz w:val="22"/>
        </w:rPr>
        <w:t>、</w:t>
      </w:r>
      <w:r>
        <w:rPr>
          <w:rFonts w:ascii="Consolas" w:hAnsi="Consolas" w:eastAsia="Consolas"/>
          <w:sz w:val="22"/>
        </w:rPr>
        <w:t>90%频段 30 V/m</w:t>
      </w:r>
      <w:r>
        <w:rPr>
          <w:rFonts w:ascii="Microsoft YaHei UI" w:hAnsi="Microsoft YaHei UI" w:eastAsia="Microsoft YaHei UI"/>
          <w:sz w:val="22"/>
        </w:rPr>
        <w:t xml:space="preserve"> 的标准要求。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保留天线角度自适应调整、二分法求解、下线检测等专利映射条款。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6.4 合并写法建议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正文写“天线系统与射频链路的一般设计要求”。</w:t>
      </w:r>
    </w:p>
    <w:p>
      <w:pPr>
        <w:pStyle w:val="ListBullet"/>
        <w:ind w:left="0"/>
      </w:pPr>
      <w:r>
        <w:rPr>
          <w:rFonts w:ascii="Consolas" w:hAnsi="Consolas" w:eastAsia="Consolas"/>
          <w:sz w:val="22"/>
        </w:rPr>
        <w:t>A轨</w:t>
      </w:r>
      <w:r>
        <w:rPr>
          <w:rFonts w:ascii="Microsoft YaHei UI" w:hAnsi="Microsoft YaHei UI" w:eastAsia="Microsoft YaHei UI"/>
          <w:sz w:val="22"/>
        </w:rPr>
        <w:t xml:space="preserve"> 写“工程性能与实现参数”。</w:t>
      </w:r>
    </w:p>
    <w:p>
      <w:pPr>
        <w:pStyle w:val="ListBullet"/>
        <w:ind w:left="0"/>
      </w:pPr>
      <w:r>
        <w:rPr>
          <w:rFonts w:ascii="Consolas" w:hAnsi="Consolas" w:eastAsia="Consolas"/>
          <w:sz w:val="22"/>
        </w:rPr>
        <w:t>B轨</w:t>
      </w:r>
      <w:r>
        <w:rPr>
          <w:rFonts w:ascii="Microsoft YaHei UI" w:hAnsi="Microsoft YaHei UI" w:eastAsia="Microsoft YaHei UI"/>
          <w:sz w:val="22"/>
        </w:rPr>
        <w:t xml:space="preserve"> 写“标准限值与专利条款增强要求”。</w:t>
      </w:r>
    </w:p>
    <w:p>
      <w:pPr>
        <w:pStyle w:val="Heading2"/>
      </w:pPr>
      <w:r>
        <w:rPr>
          <w:rFonts w:ascii="Microsoft YaHei UI" w:hAnsi="Microsoft YaHei UI" w:eastAsia="Microsoft YaHei UI"/>
          <w:sz w:val="22"/>
        </w:rPr>
        <w:t>7. 硬件平台层合并方案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7.1 共性要求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核心模块应进行金属屏蔽、分区布局、良好接地和电源净化。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数字、射频、电源三个区域应清晰分离。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电源端口和信号端口都应考虑瞬态防护。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外部连接器应满足机械可靠性与接口屏蔽的双重要求。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7.2 A轨实施要求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继续保留核心模块独立屏蔽罩方案，可覆盖主控、低轨通信模块、Ku终端等关键单元。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屏蔽罩材料、厚度、屏蔽效能、开孔方式等要求宜作为工程实施参数保留：</w:t>
      </w:r>
      <w:r>
        <w:br/>
      </w:r>
      <w:r>
        <w:rPr>
          <w:rFonts w:ascii="Microsoft YaHei UI" w:hAnsi="Microsoft YaHei UI" w:eastAsia="Microsoft YaHei UI"/>
          <w:sz w:val="22"/>
        </w:rPr>
        <w:t>- 材料可采用镀锡钢或洋白铜；</w:t>
      </w:r>
      <w:r>
        <w:br/>
      </w:r>
      <w:r>
        <w:rPr>
          <w:rFonts w:ascii="Microsoft YaHei UI" w:hAnsi="Microsoft YaHei UI" w:eastAsia="Microsoft YaHei UI"/>
          <w:sz w:val="22"/>
        </w:rPr>
        <w:t xml:space="preserve">- 厚度建议 </w:t>
      </w:r>
      <w:r>
        <w:rPr>
          <w:rFonts w:ascii="Consolas" w:hAnsi="Consolas" w:eastAsia="Consolas"/>
          <w:sz w:val="22"/>
        </w:rPr>
        <w:t>≥ 0.3 mm</w:t>
      </w:r>
      <w:r>
        <w:rPr>
          <w:rFonts w:ascii="Microsoft YaHei UI" w:hAnsi="Microsoft YaHei UI" w:eastAsia="Microsoft YaHei UI"/>
          <w:sz w:val="22"/>
        </w:rPr>
        <w:t>；</w:t>
      </w:r>
      <w:r>
        <w:br/>
      </w:r>
      <w:r>
        <w:rPr>
          <w:rFonts w:ascii="Microsoft YaHei UI" w:hAnsi="Microsoft YaHei UI" w:eastAsia="Microsoft YaHei UI"/>
          <w:sz w:val="22"/>
        </w:rPr>
        <w:t xml:space="preserve">- 屏蔽效能建议 </w:t>
      </w:r>
      <w:r>
        <w:rPr>
          <w:rFonts w:ascii="Consolas" w:hAnsi="Consolas" w:eastAsia="Consolas"/>
          <w:sz w:val="22"/>
        </w:rPr>
        <w:t>30 MHz～6 GHz ≥ 40 dB</w:t>
      </w:r>
      <w:r>
        <w:rPr>
          <w:rFonts w:ascii="Microsoft YaHei UI" w:hAnsi="Microsoft YaHei UI" w:eastAsia="Microsoft YaHei UI"/>
          <w:sz w:val="22"/>
        </w:rPr>
        <w:t>；</w:t>
      </w:r>
      <w:r>
        <w:br/>
      </w:r>
      <w:r>
        <w:rPr>
          <w:rFonts w:ascii="Microsoft YaHei UI" w:hAnsi="Microsoft YaHei UI" w:eastAsia="Microsoft YaHei UI"/>
          <w:sz w:val="22"/>
        </w:rPr>
        <w:t xml:space="preserve">- 开孔孔径建议 </w:t>
      </w:r>
      <w:r>
        <w:rPr>
          <w:rFonts w:ascii="Consolas" w:hAnsi="Consolas" w:eastAsia="Consolas"/>
          <w:sz w:val="22"/>
        </w:rPr>
        <w:t>≤ 3 mm</w:t>
      </w:r>
      <w:r>
        <w:rPr>
          <w:rFonts w:ascii="Microsoft YaHei UI" w:hAnsi="Microsoft YaHei UI" w:eastAsia="Microsoft YaHei UI"/>
          <w:sz w:val="22"/>
        </w:rPr>
        <w:t>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接地设计建议保留“低频单点、高频多点”的混合接地方案。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 xml:space="preserve">接地电阻、磁珠/0欧连接、电源输入 </w:t>
      </w:r>
      <w:r>
        <w:rPr>
          <w:rFonts w:ascii="Consolas" w:hAnsi="Consolas" w:eastAsia="Consolas"/>
          <w:sz w:val="22"/>
        </w:rPr>
        <w:t>EMI</w:t>
      </w:r>
      <w:r>
        <w:rPr>
          <w:rFonts w:ascii="Microsoft YaHei UI" w:hAnsi="Microsoft YaHei UI" w:eastAsia="Microsoft YaHei UI"/>
          <w:sz w:val="22"/>
        </w:rPr>
        <w:t xml:space="preserve"> 滤波、</w:t>
      </w:r>
      <w:r>
        <w:rPr>
          <w:rFonts w:ascii="Consolas" w:hAnsi="Consolas" w:eastAsia="Consolas"/>
          <w:sz w:val="22"/>
        </w:rPr>
        <w:t>9V～36V</w:t>
      </w:r>
      <w:r>
        <w:rPr>
          <w:rFonts w:ascii="Microsoft YaHei UI" w:hAnsi="Microsoft YaHei UI" w:eastAsia="Microsoft YaHei UI"/>
          <w:sz w:val="22"/>
        </w:rPr>
        <w:t xml:space="preserve"> 宽压输入、</w:t>
      </w:r>
      <w:r>
        <w:rPr>
          <w:rFonts w:ascii="Consolas" w:hAnsi="Consolas" w:eastAsia="Consolas"/>
          <w:sz w:val="22"/>
        </w:rPr>
        <w:t>≥ 85%</w:t>
      </w:r>
      <w:r>
        <w:rPr>
          <w:rFonts w:ascii="Microsoft YaHei UI" w:hAnsi="Microsoft YaHei UI" w:eastAsia="Microsoft YaHei UI"/>
          <w:sz w:val="22"/>
        </w:rPr>
        <w:t xml:space="preserve"> 电源效率等工程条款建议保留在 </w:t>
      </w:r>
      <w:r>
        <w:rPr>
          <w:rFonts w:ascii="Consolas" w:hAnsi="Consolas" w:eastAsia="Consolas"/>
          <w:sz w:val="22"/>
        </w:rPr>
        <w:t>A轨</w:t>
      </w:r>
      <w:r>
        <w:rPr>
          <w:rFonts w:ascii="Microsoft YaHei UI" w:hAnsi="Microsoft YaHei UI" w:eastAsia="Microsoft YaHei UI"/>
          <w:sz w:val="22"/>
        </w:rPr>
        <w:t>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 xml:space="preserve">功耗模式切换和模块级上电策略也适合留在 </w:t>
      </w:r>
      <w:r>
        <w:rPr>
          <w:rFonts w:ascii="Consolas" w:hAnsi="Consolas" w:eastAsia="Consolas"/>
          <w:sz w:val="22"/>
        </w:rPr>
        <w:t>A轨</w:t>
      </w:r>
      <w:r>
        <w:rPr>
          <w:rFonts w:ascii="Microsoft YaHei UI" w:hAnsi="Microsoft YaHei UI" w:eastAsia="Microsoft YaHei UI"/>
          <w:sz w:val="22"/>
        </w:rPr>
        <w:t>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7.3 B轨增强要求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 xml:space="preserve">保留 </w:t>
      </w:r>
      <w:r>
        <w:rPr>
          <w:rFonts w:ascii="Consolas" w:hAnsi="Consolas" w:eastAsia="Consolas"/>
          <w:sz w:val="22"/>
        </w:rPr>
        <w:t>λ/20</w:t>
      </w:r>
      <w:r>
        <w:rPr>
          <w:rFonts w:ascii="Microsoft YaHei UI" w:hAnsi="Microsoft YaHei UI" w:eastAsia="Microsoft YaHei UI"/>
          <w:sz w:val="22"/>
        </w:rPr>
        <w:t xml:space="preserve"> 缝隙处理原则。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保留 ESD、电源线瞬态、非电源线瞬态、传导/辐射骚扰等标准试验边界。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保留二次锁扣快速插拔接口的专利支撑与规范化描述。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7.4 合并写法建议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正文写“硬件平台 EMC 结构要求”。</w:t>
      </w:r>
    </w:p>
    <w:p>
      <w:pPr>
        <w:pStyle w:val="ListBullet"/>
        <w:ind w:left="0"/>
      </w:pPr>
      <w:r>
        <w:rPr>
          <w:rFonts w:ascii="Consolas" w:hAnsi="Consolas" w:eastAsia="Consolas"/>
          <w:sz w:val="22"/>
        </w:rPr>
        <w:t>A轨</w:t>
      </w:r>
      <w:r>
        <w:rPr>
          <w:rFonts w:ascii="Microsoft YaHei UI" w:hAnsi="Microsoft YaHei UI" w:eastAsia="Microsoft YaHei UI"/>
          <w:sz w:val="22"/>
        </w:rPr>
        <w:t xml:space="preserve"> 以“屏蔽、接地、电源、功耗”的工程条款展开。</w:t>
      </w:r>
    </w:p>
    <w:p>
      <w:pPr>
        <w:pStyle w:val="ListBullet"/>
        <w:ind w:left="0"/>
      </w:pPr>
      <w:r>
        <w:rPr>
          <w:rFonts w:ascii="Consolas" w:hAnsi="Consolas" w:eastAsia="Consolas"/>
          <w:sz w:val="22"/>
        </w:rPr>
        <w:t>B轨</w:t>
      </w:r>
      <w:r>
        <w:rPr>
          <w:rFonts w:ascii="Microsoft YaHei UI" w:hAnsi="Microsoft YaHei UI" w:eastAsia="Microsoft YaHei UI"/>
          <w:sz w:val="22"/>
        </w:rPr>
        <w:t xml:space="preserve"> 以“抗扰度、骚扰和接口规范化要求”展开。</w:t>
      </w:r>
    </w:p>
    <w:p>
      <w:pPr>
        <w:pStyle w:val="Heading2"/>
      </w:pPr>
      <w:r>
        <w:rPr>
          <w:rFonts w:ascii="Microsoft YaHei UI" w:hAnsi="Microsoft YaHei UI" w:eastAsia="Microsoft YaHei UI"/>
          <w:sz w:val="22"/>
        </w:rPr>
        <w:t>8. 线束布局层合并方案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8.1 共性要求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敏感线束优先采用屏蔽或双绞结构。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布线遵循“源-路径-敏感体”分离原则。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环路面积尽量最小化，回流路径尽量完整。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线束屏蔽、搭铁和 BCI 防护需统筹设计。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8.2 A轨实施要求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 xml:space="preserve">所有敏感信号线可继续按屏蔽线缆控制，屏蔽层采用 </w:t>
      </w:r>
      <w:r>
        <w:rPr>
          <w:rFonts w:ascii="Consolas" w:hAnsi="Consolas" w:eastAsia="Consolas"/>
          <w:sz w:val="22"/>
        </w:rPr>
        <w:t>360°</w:t>
      </w:r>
      <w:r>
        <w:rPr>
          <w:rFonts w:ascii="Microsoft YaHei UI" w:hAnsi="Microsoft YaHei UI" w:eastAsia="Microsoft YaHei UI"/>
          <w:sz w:val="22"/>
        </w:rPr>
        <w:t xml:space="preserve"> 端接，避免“猪尾巴”接地。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 xml:space="preserve">差分信号线建议保留双绞线工程约束，例如 </w:t>
      </w:r>
      <w:r>
        <w:rPr>
          <w:rFonts w:ascii="Consolas" w:hAnsi="Consolas" w:eastAsia="Consolas"/>
          <w:sz w:val="22"/>
        </w:rPr>
        <w:t>100 Mbps</w:t>
      </w:r>
      <w:r>
        <w:rPr>
          <w:rFonts w:ascii="Microsoft YaHei UI" w:hAnsi="Microsoft YaHei UI" w:eastAsia="Microsoft YaHei UI"/>
          <w:sz w:val="22"/>
        </w:rPr>
        <w:t xml:space="preserve"> 以太网绞距 </w:t>
      </w:r>
      <w:r>
        <w:rPr>
          <w:rFonts w:ascii="Consolas" w:hAnsi="Consolas" w:eastAsia="Consolas"/>
          <w:sz w:val="22"/>
        </w:rPr>
        <w:t>≤ 50 mm</w:t>
      </w:r>
      <w:r>
        <w:rPr>
          <w:rFonts w:ascii="Microsoft YaHei UI" w:hAnsi="Microsoft YaHei UI" w:eastAsia="Microsoft YaHei UI"/>
          <w:sz w:val="22"/>
        </w:rPr>
        <w:t>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 xml:space="preserve">强干扰线束与敏感线束的工程间距建议保留，宜 </w:t>
      </w:r>
      <w:r>
        <w:rPr>
          <w:rFonts w:ascii="Consolas" w:hAnsi="Consolas" w:eastAsia="Consolas"/>
          <w:sz w:val="22"/>
        </w:rPr>
        <w:t>≥ 5 cm</w:t>
      </w:r>
      <w:r>
        <w:rPr>
          <w:rFonts w:ascii="Microsoft YaHei UI" w:hAnsi="Microsoft YaHei UI" w:eastAsia="Microsoft YaHei UI"/>
          <w:sz w:val="22"/>
        </w:rPr>
        <w:t>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线束交叉宜垂直，必要时可通过磁环、共模扼流圈补强。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 xml:space="preserve">设备搭铁点选取、线束两端接地与地环路风险控制更适合放在 </w:t>
      </w:r>
      <w:r>
        <w:rPr>
          <w:rFonts w:ascii="Consolas" w:hAnsi="Consolas" w:eastAsia="Consolas"/>
          <w:sz w:val="22"/>
        </w:rPr>
        <w:t>A轨</w:t>
      </w:r>
      <w:r>
        <w:rPr>
          <w:rFonts w:ascii="Microsoft YaHei UI" w:hAnsi="Microsoft YaHei UI" w:eastAsia="Microsoft YaHei UI"/>
          <w:sz w:val="22"/>
        </w:rPr>
        <w:t>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8.3 B轨增强要求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保留屏蔽线缆、双绞线、环路面积最小化等规范化表达。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 xml:space="preserve">保留 </w:t>
      </w:r>
      <w:r>
        <w:rPr>
          <w:rFonts w:ascii="Consolas" w:hAnsi="Consolas" w:eastAsia="Consolas"/>
          <w:sz w:val="22"/>
        </w:rPr>
        <w:t>GB/T 21437.3</w:t>
      </w:r>
      <w:r>
        <w:rPr>
          <w:rFonts w:ascii="Microsoft YaHei UI" w:hAnsi="Microsoft YaHei UI" w:eastAsia="Microsoft YaHei UI"/>
          <w:sz w:val="22"/>
        </w:rPr>
        <w:t xml:space="preserve"> 和 </w:t>
      </w:r>
      <w:r>
        <w:rPr>
          <w:rFonts w:ascii="Consolas" w:hAnsi="Consolas" w:eastAsia="Consolas"/>
          <w:sz w:val="22"/>
        </w:rPr>
        <w:t>YD/T 4517.4-2024</w:t>
      </w:r>
      <w:r>
        <w:rPr>
          <w:rFonts w:ascii="Microsoft YaHei UI" w:hAnsi="Microsoft YaHei UI" w:eastAsia="Microsoft YaHei UI"/>
          <w:sz w:val="22"/>
        </w:rPr>
        <w:t xml:space="preserve"> 对非电源线瞬态抗扰度的表述。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 xml:space="preserve">保留 </w:t>
      </w:r>
      <w:r>
        <w:rPr>
          <w:rFonts w:ascii="Consolas" w:hAnsi="Consolas" w:eastAsia="Consolas"/>
          <w:sz w:val="22"/>
        </w:rPr>
        <w:t>BCI</w:t>
      </w:r>
      <w:r>
        <w:rPr>
          <w:rFonts w:ascii="Microsoft YaHei UI" w:hAnsi="Microsoft YaHei UI" w:eastAsia="Microsoft YaHei UI"/>
          <w:sz w:val="22"/>
        </w:rPr>
        <w:t xml:space="preserve"> 试验要求，即 </w:t>
      </w:r>
      <w:r>
        <w:rPr>
          <w:rFonts w:ascii="Consolas" w:hAnsi="Consolas" w:eastAsia="Consolas"/>
          <w:sz w:val="22"/>
        </w:rPr>
        <w:t>1 MHz～400 MHz</w:t>
      </w:r>
      <w:r>
        <w:rPr>
          <w:rFonts w:ascii="Microsoft YaHei UI" w:hAnsi="Microsoft YaHei UI" w:eastAsia="Microsoft YaHei UI"/>
          <w:sz w:val="22"/>
        </w:rPr>
        <w:t xml:space="preserve"> 频段 </w:t>
      </w:r>
      <w:r>
        <w:rPr>
          <w:rFonts w:ascii="Consolas" w:hAnsi="Consolas" w:eastAsia="Consolas"/>
          <w:sz w:val="22"/>
        </w:rPr>
        <w:t>90%</w:t>
      </w:r>
      <w:r>
        <w:rPr>
          <w:rFonts w:ascii="Microsoft YaHei UI" w:hAnsi="Microsoft YaHei UI" w:eastAsia="Microsoft YaHei UI"/>
          <w:sz w:val="22"/>
        </w:rPr>
        <w:t xml:space="preserve"> 以上频点注入电流 </w:t>
      </w:r>
      <w:r>
        <w:rPr>
          <w:rFonts w:ascii="Consolas" w:hAnsi="Consolas" w:eastAsia="Consolas"/>
          <w:sz w:val="22"/>
        </w:rPr>
        <w:t>60 mA</w:t>
      </w:r>
      <w:r>
        <w:rPr>
          <w:rFonts w:ascii="Microsoft YaHei UI" w:hAnsi="Microsoft YaHei UI" w:eastAsia="Microsoft YaHei UI"/>
          <w:sz w:val="22"/>
        </w:rPr>
        <w:t>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8.4 合并写法建议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正文以布线方法论为主。</w:t>
      </w:r>
    </w:p>
    <w:p>
      <w:pPr>
        <w:pStyle w:val="ListBullet"/>
        <w:ind w:left="0"/>
      </w:pPr>
      <w:r>
        <w:rPr>
          <w:rFonts w:ascii="Consolas" w:hAnsi="Consolas" w:eastAsia="Consolas"/>
          <w:sz w:val="22"/>
        </w:rPr>
        <w:t>A轨</w:t>
      </w:r>
      <w:r>
        <w:rPr>
          <w:rFonts w:ascii="Microsoft YaHei UI" w:hAnsi="Microsoft YaHei UI" w:eastAsia="Microsoft YaHei UI"/>
          <w:sz w:val="22"/>
        </w:rPr>
        <w:t xml:space="preserve"> 给出间距、绞距、端接方式等工程值。</w:t>
      </w:r>
    </w:p>
    <w:p>
      <w:pPr>
        <w:pStyle w:val="ListBullet"/>
        <w:ind w:left="0"/>
      </w:pPr>
      <w:r>
        <w:rPr>
          <w:rFonts w:ascii="Consolas" w:hAnsi="Consolas" w:eastAsia="Consolas"/>
          <w:sz w:val="22"/>
        </w:rPr>
        <w:t>B轨</w:t>
      </w:r>
      <w:r>
        <w:rPr>
          <w:rFonts w:ascii="Microsoft YaHei UI" w:hAnsi="Microsoft YaHei UI" w:eastAsia="Microsoft YaHei UI"/>
          <w:sz w:val="22"/>
        </w:rPr>
        <w:t xml:space="preserve"> 给出试验判据和表格化口径。</w:t>
      </w:r>
    </w:p>
    <w:p>
      <w:pPr>
        <w:pStyle w:val="Heading2"/>
      </w:pPr>
      <w:r>
        <w:rPr>
          <w:rFonts w:ascii="Microsoft YaHei UI" w:hAnsi="Microsoft YaHei UI" w:eastAsia="Microsoft YaHei UI"/>
          <w:sz w:val="22"/>
        </w:rPr>
        <w:t>9. 测试验证层合并方案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9.1 共性要求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验证必须覆盖仿真、样件测试、实车或实验室对标三个阶段。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不只验证“是否通过”，还要验证“问题出现在哪里、为何出现、如何回灌设计”。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验证应同时覆盖骚扰发射、抗扰度和业务性能。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9.2 A轨实施要求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 xml:space="preserve">继续保留 </w:t>
      </w:r>
      <w:r>
        <w:rPr>
          <w:rFonts w:ascii="Consolas" w:hAnsi="Consolas" w:eastAsia="Consolas"/>
          <w:sz w:val="22"/>
        </w:rPr>
        <w:t>EMC</w:t>
      </w:r>
      <w:r>
        <w:rPr>
          <w:rFonts w:ascii="Microsoft YaHei UI" w:hAnsi="Microsoft YaHei UI" w:eastAsia="Microsoft YaHei UI"/>
          <w:sz w:val="22"/>
        </w:rPr>
        <w:t xml:space="preserve"> 仿真平台要求，包括通信模组电磁模型、车辆典型电磁环境模型、多普勒模型、联合仿真环境和模型校准机制。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保留“设计初期以仿真主导、样件阶段以测试为最终判据”的协同逻辑。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建议继续沉淀干扰源模型库、天线模型库和典型工况库，服务后续复用。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9.3 B轨增强要求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 xml:space="preserve">保留 </w:t>
      </w:r>
      <w:r>
        <w:rPr>
          <w:rFonts w:ascii="Consolas" w:hAnsi="Consolas" w:eastAsia="Consolas"/>
          <w:sz w:val="22"/>
        </w:rPr>
        <w:t>YD/T 1483</w:t>
      </w:r>
      <w:r>
        <w:rPr>
          <w:rFonts w:ascii="Microsoft YaHei UI" w:hAnsi="Microsoft YaHei UI" w:eastAsia="Microsoft YaHei UI"/>
          <w:sz w:val="22"/>
        </w:rPr>
        <w:t>、</w:t>
      </w:r>
      <w:r>
        <w:rPr>
          <w:rFonts w:ascii="Consolas" w:hAnsi="Consolas" w:eastAsia="Consolas"/>
          <w:sz w:val="22"/>
        </w:rPr>
        <w:t>GB/T 18655-2018</w:t>
      </w:r>
      <w:r>
        <w:rPr>
          <w:rFonts w:ascii="Microsoft YaHei UI" w:hAnsi="Microsoft YaHei UI" w:eastAsia="Microsoft YaHei UI"/>
          <w:sz w:val="22"/>
        </w:rPr>
        <w:t>、</w:t>
      </w:r>
      <w:r>
        <w:rPr>
          <w:rFonts w:ascii="Consolas" w:hAnsi="Consolas" w:eastAsia="Consolas"/>
          <w:sz w:val="22"/>
        </w:rPr>
        <w:t>GB/T 19951</w:t>
      </w:r>
      <w:r>
        <w:rPr>
          <w:rFonts w:ascii="Microsoft YaHei UI" w:hAnsi="Microsoft YaHei UI" w:eastAsia="Microsoft YaHei UI"/>
          <w:sz w:val="22"/>
        </w:rPr>
        <w:t>、</w:t>
      </w:r>
      <w:r>
        <w:rPr>
          <w:rFonts w:ascii="Consolas" w:hAnsi="Consolas" w:eastAsia="Consolas"/>
          <w:sz w:val="22"/>
        </w:rPr>
        <w:t>GB/T 33014.2</w:t>
      </w:r>
      <w:r>
        <w:rPr>
          <w:rFonts w:ascii="Microsoft YaHei UI" w:hAnsi="Microsoft YaHei UI" w:eastAsia="Microsoft YaHei UI"/>
          <w:sz w:val="22"/>
        </w:rPr>
        <w:t>、</w:t>
      </w:r>
      <w:r>
        <w:rPr>
          <w:rFonts w:ascii="Consolas" w:hAnsi="Consolas" w:eastAsia="Consolas"/>
          <w:sz w:val="22"/>
        </w:rPr>
        <w:t>GB/T 33014.4</w:t>
      </w:r>
      <w:r>
        <w:rPr>
          <w:rFonts w:ascii="Microsoft YaHei UI" w:hAnsi="Microsoft YaHei UI" w:eastAsia="Microsoft YaHei UI"/>
          <w:sz w:val="22"/>
        </w:rPr>
        <w:t>、</w:t>
      </w:r>
      <w:r>
        <w:rPr>
          <w:rFonts w:ascii="Consolas" w:hAnsi="Consolas" w:eastAsia="Consolas"/>
          <w:sz w:val="22"/>
        </w:rPr>
        <w:t>GB/T 21437.2</w:t>
      </w:r>
      <w:r>
        <w:rPr>
          <w:rFonts w:ascii="Microsoft YaHei UI" w:hAnsi="Microsoft YaHei UI" w:eastAsia="Microsoft YaHei UI"/>
          <w:sz w:val="22"/>
        </w:rPr>
        <w:t>、</w:t>
      </w:r>
      <w:r>
        <w:rPr>
          <w:rFonts w:ascii="Consolas" w:hAnsi="Consolas" w:eastAsia="Consolas"/>
          <w:sz w:val="22"/>
        </w:rPr>
        <w:t>GB/T 21437.3</w:t>
      </w:r>
      <w:r>
        <w:rPr>
          <w:rFonts w:ascii="Microsoft YaHei UI" w:hAnsi="Microsoft YaHei UI" w:eastAsia="Microsoft YaHei UI"/>
          <w:sz w:val="22"/>
        </w:rPr>
        <w:t xml:space="preserve"> 等方法学引用关系。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 xml:space="preserve">保留 </w:t>
      </w:r>
      <w:r>
        <w:rPr>
          <w:rFonts w:ascii="Consolas" w:hAnsi="Consolas" w:eastAsia="Consolas"/>
          <w:sz w:val="22"/>
        </w:rPr>
        <w:t>性能判据A/B/C</w:t>
      </w:r>
      <w:r>
        <w:rPr>
          <w:rFonts w:ascii="Microsoft YaHei UI" w:hAnsi="Microsoft YaHei UI" w:eastAsia="Microsoft YaHei UI"/>
          <w:sz w:val="22"/>
        </w:rPr>
        <w:t xml:space="preserve"> 原始适用场景。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保留辐射杂散、辐射骚扰、传导骚扰、ESD、辐射抗扰度、BCI、电瞬态的表格化测试要求。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9.4 合并写法建议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 xml:space="preserve">正文拆成 </w:t>
      </w:r>
      <w:r>
        <w:rPr>
          <w:rFonts w:ascii="Consolas" w:hAnsi="Consolas" w:eastAsia="Consolas"/>
          <w:sz w:val="22"/>
        </w:rPr>
        <w:t>仿真验证</w:t>
      </w:r>
      <w:r>
        <w:rPr>
          <w:rFonts w:ascii="Microsoft YaHei UI" w:hAnsi="Microsoft YaHei UI" w:eastAsia="Microsoft YaHei UI"/>
          <w:sz w:val="22"/>
        </w:rPr>
        <w:t xml:space="preserve"> 和 </w:t>
      </w:r>
      <w:r>
        <w:rPr>
          <w:rFonts w:ascii="Consolas" w:hAnsi="Consolas" w:eastAsia="Consolas"/>
          <w:sz w:val="22"/>
        </w:rPr>
        <w:t>合规验证</w:t>
      </w:r>
      <w:r>
        <w:rPr>
          <w:rFonts w:ascii="Microsoft YaHei UI" w:hAnsi="Microsoft YaHei UI" w:eastAsia="Microsoft YaHei UI"/>
          <w:sz w:val="22"/>
        </w:rPr>
        <w:t xml:space="preserve"> 两节。</w:t>
      </w:r>
    </w:p>
    <w:p>
      <w:pPr>
        <w:pStyle w:val="ListBullet"/>
        <w:ind w:left="0"/>
      </w:pPr>
      <w:r>
        <w:rPr>
          <w:rFonts w:ascii="Consolas" w:hAnsi="Consolas" w:eastAsia="Consolas"/>
          <w:sz w:val="22"/>
        </w:rPr>
        <w:t>A轨</w:t>
      </w:r>
      <w:r>
        <w:rPr>
          <w:rFonts w:ascii="Microsoft YaHei UI" w:hAnsi="Microsoft YaHei UI" w:eastAsia="Microsoft YaHei UI"/>
          <w:sz w:val="22"/>
        </w:rPr>
        <w:t xml:space="preserve"> 放仿真平台、模型和工程验证闭环。</w:t>
      </w:r>
    </w:p>
    <w:p>
      <w:pPr>
        <w:pStyle w:val="ListBullet"/>
        <w:ind w:left="0"/>
      </w:pPr>
      <w:r>
        <w:rPr>
          <w:rFonts w:ascii="Consolas" w:hAnsi="Consolas" w:eastAsia="Consolas"/>
          <w:sz w:val="22"/>
        </w:rPr>
        <w:t>B轨</w:t>
      </w:r>
      <w:r>
        <w:rPr>
          <w:rFonts w:ascii="Microsoft YaHei UI" w:hAnsi="Microsoft YaHei UI" w:eastAsia="Microsoft YaHei UI"/>
          <w:sz w:val="22"/>
        </w:rPr>
        <w:t xml:space="preserve"> 放标准方法、限值、判据和附录化清单。</w:t>
      </w:r>
    </w:p>
    <w:p>
      <w:pPr>
        <w:pStyle w:val="Heading2"/>
      </w:pPr>
      <w:r>
        <w:rPr>
          <w:rFonts w:ascii="Microsoft YaHei UI" w:hAnsi="Microsoft YaHei UI" w:eastAsia="Microsoft YaHei UI"/>
          <w:sz w:val="22"/>
        </w:rPr>
        <w:t>10. 推荐交付体例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10.1 主文结构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 xml:space="preserve">第1章至第4章写 </w:t>
      </w:r>
      <w:r>
        <w:rPr>
          <w:rFonts w:ascii="Consolas" w:hAnsi="Consolas" w:eastAsia="Consolas"/>
          <w:sz w:val="22"/>
        </w:rPr>
        <w:t>共性层</w:t>
      </w:r>
      <w:r>
        <w:rPr>
          <w:rFonts w:ascii="Microsoft YaHei UI" w:hAnsi="Microsoft YaHei UI" w:eastAsia="Microsoft YaHei UI"/>
          <w:sz w:val="22"/>
        </w:rPr>
        <w:t>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 xml:space="preserve">第5章至第9章每章内固定使用 </w:t>
      </w:r>
      <w:r>
        <w:rPr>
          <w:rFonts w:ascii="Consolas" w:hAnsi="Consolas" w:eastAsia="Consolas"/>
          <w:sz w:val="22"/>
        </w:rPr>
        <w:t>共性要求 / A轨实施要求 / B轨增强要求 / 合并写法建议</w:t>
      </w:r>
      <w:r>
        <w:rPr>
          <w:rFonts w:ascii="Microsoft YaHei UI" w:hAnsi="Microsoft YaHei UI" w:eastAsia="Microsoft YaHei UI"/>
          <w:sz w:val="22"/>
        </w:rPr>
        <w:t xml:space="preserve"> 四段式。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不再另起一份完全重复的“基础版”或“增强版”全文。</w:t>
      </w:r>
    </w:p>
    <w:p>
      <w:pPr>
        <w:pStyle w:val="Heading3"/>
      </w:pPr>
      <w:r>
        <w:rPr>
          <w:rFonts w:ascii="Microsoft YaHei UI" w:hAnsi="Microsoft YaHei UI" w:eastAsia="Microsoft YaHei UI"/>
          <w:sz w:val="22"/>
        </w:rPr>
        <w:t>10.2 配套附件</w:t>
      </w:r>
    </w:p>
    <w:p>
      <w:pPr>
        <w:pStyle w:val="ListBullet"/>
        <w:ind w:left="0"/>
      </w:pPr>
      <w:r>
        <w:rPr>
          <w:rFonts w:ascii="Consolas" w:hAnsi="Consolas" w:eastAsia="Consolas"/>
          <w:sz w:val="22"/>
        </w:rPr>
        <w:t>附件A</w:t>
      </w:r>
      <w:r>
        <w:rPr>
          <w:rFonts w:ascii="Microsoft YaHei UI" w:hAnsi="Microsoft YaHei UI" w:eastAsia="Microsoft YaHei UI"/>
          <w:sz w:val="22"/>
        </w:rPr>
        <w:t>：一汽-工创实施条款汇编</w:t>
      </w:r>
      <w:r>
        <w:br/>
      </w:r>
      <w:r>
        <w:rPr>
          <w:rFonts w:ascii="Microsoft YaHei UI" w:hAnsi="Microsoft YaHei UI" w:eastAsia="Microsoft YaHei UI"/>
          <w:sz w:val="22"/>
        </w:rPr>
        <w:t xml:space="preserve">只抽取 </w:t>
      </w:r>
      <w:r>
        <w:rPr>
          <w:rFonts w:ascii="Consolas" w:hAnsi="Consolas" w:eastAsia="Consolas"/>
          <w:sz w:val="22"/>
        </w:rPr>
        <w:t>A轨</w:t>
      </w:r>
      <w:r>
        <w:rPr>
          <w:rFonts w:ascii="Microsoft YaHei UI" w:hAnsi="Microsoft YaHei UI" w:eastAsia="Microsoft YaHei UI"/>
          <w:sz w:val="22"/>
        </w:rPr>
        <w:t>，便于研发、器件选型、平台搭建和项目管理。</w:t>
      </w:r>
    </w:p>
    <w:p>
      <w:pPr>
        <w:pStyle w:val="ListBullet"/>
        <w:ind w:left="0"/>
      </w:pPr>
      <w:r>
        <w:rPr>
          <w:rFonts w:ascii="Consolas" w:hAnsi="Consolas" w:eastAsia="Consolas"/>
          <w:sz w:val="22"/>
        </w:rPr>
        <w:t>附件B</w:t>
      </w:r>
      <w:r>
        <w:rPr>
          <w:rFonts w:ascii="Microsoft YaHei UI" w:hAnsi="Microsoft YaHei UI" w:eastAsia="Microsoft YaHei UI"/>
          <w:sz w:val="22"/>
        </w:rPr>
        <w:t>：专利与标准条款映射表</w:t>
      </w:r>
      <w:r>
        <w:br/>
      </w:r>
      <w:r>
        <w:rPr>
          <w:rFonts w:ascii="Microsoft YaHei UI" w:hAnsi="Microsoft YaHei UI" w:eastAsia="Microsoft YaHei UI"/>
          <w:sz w:val="22"/>
        </w:rPr>
        <w:t xml:space="preserve">只抽取 </w:t>
      </w:r>
      <w:r>
        <w:rPr>
          <w:rFonts w:ascii="Consolas" w:hAnsi="Consolas" w:eastAsia="Consolas"/>
          <w:sz w:val="22"/>
        </w:rPr>
        <w:t>B轨</w:t>
      </w:r>
      <w:r>
        <w:rPr>
          <w:rFonts w:ascii="Microsoft YaHei UI" w:hAnsi="Microsoft YaHei UI" w:eastAsia="Microsoft YaHei UI"/>
          <w:sz w:val="22"/>
        </w:rPr>
        <w:t>，便于评审、对外说明和知识产权审查。</w:t>
      </w:r>
    </w:p>
    <w:p>
      <w:pPr>
        <w:pStyle w:val="ListBullet"/>
        <w:ind w:left="0"/>
      </w:pPr>
      <w:r>
        <w:rPr>
          <w:rFonts w:ascii="Consolas" w:hAnsi="Consolas" w:eastAsia="Consolas"/>
          <w:sz w:val="22"/>
        </w:rPr>
        <w:t>附件C</w:t>
      </w:r>
      <w:r>
        <w:rPr>
          <w:rFonts w:ascii="Microsoft YaHei UI" w:hAnsi="Microsoft YaHei UI" w:eastAsia="Microsoft YaHei UI"/>
          <w:sz w:val="22"/>
        </w:rPr>
        <w:t>：统一检查清单</w:t>
      </w:r>
      <w:r>
        <w:br/>
      </w:r>
      <w:r>
        <w:rPr>
          <w:rFonts w:ascii="Microsoft YaHei UI" w:hAnsi="Microsoft YaHei UI" w:eastAsia="Microsoft YaHei UI"/>
          <w:sz w:val="22"/>
        </w:rPr>
        <w:t>只保留最终落地必须检查的项目，避免两套清单并存。</w:t>
      </w:r>
    </w:p>
    <w:p>
      <w:pPr>
        <w:pStyle w:val="Heading2"/>
      </w:pPr>
      <w:r>
        <w:rPr>
          <w:rFonts w:ascii="Microsoft YaHei UI" w:hAnsi="Microsoft YaHei UI" w:eastAsia="Microsoft YaHei UI"/>
          <w:sz w:val="22"/>
        </w:rPr>
        <w:t>11. 使用建议</w:t>
      </w:r>
    </w:p>
    <w:p>
      <w:pPr>
        <w:pStyle w:val="ListBullet"/>
        <w:ind w:left="0"/>
      </w:pPr>
      <w:r>
        <w:rPr>
          <w:rFonts w:ascii="Consolas" w:hAnsi="Consolas" w:eastAsia="Consolas"/>
          <w:sz w:val="22"/>
        </w:rPr>
        <w:t>内部研发版</w:t>
      </w:r>
      <w:r>
        <w:rPr>
          <w:rFonts w:ascii="Microsoft YaHei UI" w:hAnsi="Microsoft YaHei UI" w:eastAsia="Microsoft YaHei UI"/>
          <w:sz w:val="22"/>
        </w:rPr>
        <w:t xml:space="preserve">：采用 </w:t>
      </w:r>
      <w:r>
        <w:rPr>
          <w:rFonts w:ascii="Consolas" w:hAnsi="Consolas" w:eastAsia="Consolas"/>
          <w:sz w:val="22"/>
        </w:rPr>
        <w:t>共性层 + A轨</w:t>
      </w:r>
      <w:r>
        <w:rPr>
          <w:rFonts w:ascii="Microsoft YaHei UI" w:hAnsi="Microsoft YaHei UI" w:eastAsia="Microsoft YaHei UI"/>
          <w:sz w:val="22"/>
        </w:rPr>
        <w:t>，</w:t>
      </w:r>
      <w:r>
        <w:rPr>
          <w:rFonts w:ascii="Consolas" w:hAnsi="Consolas" w:eastAsia="Consolas"/>
          <w:sz w:val="22"/>
        </w:rPr>
        <w:t>B轨</w:t>
      </w:r>
      <w:r>
        <w:rPr>
          <w:rFonts w:ascii="Microsoft YaHei UI" w:hAnsi="Microsoft YaHei UI" w:eastAsia="Microsoft YaHei UI"/>
          <w:sz w:val="22"/>
        </w:rPr>
        <w:t xml:space="preserve"> 作为验收和对标依据。</w:t>
      </w:r>
    </w:p>
    <w:p>
      <w:pPr>
        <w:pStyle w:val="ListBullet"/>
        <w:ind w:left="0"/>
      </w:pPr>
      <w:r>
        <w:rPr>
          <w:rFonts w:ascii="Consolas" w:hAnsi="Consolas" w:eastAsia="Consolas"/>
          <w:sz w:val="22"/>
        </w:rPr>
        <w:t>标准评审版</w:t>
      </w:r>
      <w:r>
        <w:rPr>
          <w:rFonts w:ascii="Microsoft YaHei UI" w:hAnsi="Microsoft YaHei UI" w:eastAsia="Microsoft YaHei UI"/>
          <w:sz w:val="22"/>
        </w:rPr>
        <w:t xml:space="preserve">：采用 </w:t>
      </w:r>
      <w:r>
        <w:rPr>
          <w:rFonts w:ascii="Consolas" w:hAnsi="Consolas" w:eastAsia="Consolas"/>
          <w:sz w:val="22"/>
        </w:rPr>
        <w:t>共性层 + B轨</w:t>
      </w:r>
      <w:r>
        <w:rPr>
          <w:rFonts w:ascii="Microsoft YaHei UI" w:hAnsi="Microsoft YaHei UI" w:eastAsia="Microsoft YaHei UI"/>
          <w:sz w:val="22"/>
        </w:rPr>
        <w:t>，</w:t>
      </w:r>
      <w:r>
        <w:rPr>
          <w:rFonts w:ascii="Consolas" w:hAnsi="Consolas" w:eastAsia="Consolas"/>
          <w:sz w:val="22"/>
        </w:rPr>
        <w:t>A轨</w:t>
      </w:r>
      <w:r>
        <w:rPr>
          <w:rFonts w:ascii="Microsoft YaHei UI" w:hAnsi="Microsoft YaHei UI" w:eastAsia="Microsoft YaHei UI"/>
          <w:sz w:val="22"/>
        </w:rPr>
        <w:t xml:space="preserve"> 下沉为资料性说明或实施导则。</w:t>
      </w:r>
    </w:p>
    <w:p>
      <w:pPr>
        <w:pStyle w:val="ListBullet"/>
        <w:ind w:left="0"/>
      </w:pPr>
      <w:r>
        <w:rPr>
          <w:rFonts w:ascii="Consolas" w:hAnsi="Consolas" w:eastAsia="Consolas"/>
          <w:sz w:val="22"/>
        </w:rPr>
        <w:t>项目汇报版</w:t>
      </w:r>
      <w:r>
        <w:rPr>
          <w:rFonts w:ascii="Microsoft YaHei UI" w:hAnsi="Microsoft YaHei UI" w:eastAsia="Microsoft YaHei UI"/>
          <w:sz w:val="22"/>
        </w:rPr>
        <w:t xml:space="preserve">：采用 </w:t>
      </w:r>
      <w:r>
        <w:rPr>
          <w:rFonts w:ascii="Consolas" w:hAnsi="Consolas" w:eastAsia="Consolas"/>
          <w:sz w:val="22"/>
        </w:rPr>
        <w:t>共性层 + A轨核心指标 + B轨关键判据</w:t>
      </w:r>
      <w:r>
        <w:rPr>
          <w:rFonts w:ascii="Microsoft YaHei UI" w:hAnsi="Microsoft YaHei UI" w:eastAsia="Microsoft YaHei UI"/>
          <w:sz w:val="22"/>
        </w:rPr>
        <w:t>，避免全文过重。</w:t>
      </w:r>
    </w:p>
    <w:p>
      <w:pPr>
        <w:pStyle w:val="Heading2"/>
      </w:pPr>
      <w:r>
        <w:rPr>
          <w:rFonts w:ascii="Microsoft YaHei UI" w:hAnsi="Microsoft YaHei UI" w:eastAsia="Microsoft YaHei UI"/>
          <w:sz w:val="22"/>
        </w:rPr>
        <w:t>12. 最终建议</w:t>
      </w:r>
    </w:p>
    <w:p>
      <w:r>
        <w:rPr>
          <w:rFonts w:ascii="Microsoft YaHei UI" w:hAnsi="Microsoft YaHei UI" w:eastAsia="Microsoft YaHei UI"/>
          <w:sz w:val="22"/>
        </w:rPr>
        <w:t>这次合并不建议继续沿用“一个完整版把所有内容写在同一层级”的方式，而应固定为：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一个主文，承载共性骨架；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 xml:space="preserve">一条 </w:t>
      </w:r>
      <w:r>
        <w:rPr>
          <w:rFonts w:ascii="Consolas" w:hAnsi="Consolas" w:eastAsia="Consolas"/>
          <w:sz w:val="22"/>
        </w:rPr>
        <w:t>A轨</w:t>
      </w:r>
      <w:r>
        <w:rPr>
          <w:rFonts w:ascii="Microsoft YaHei UI" w:hAnsi="Microsoft YaHei UI" w:eastAsia="Microsoft YaHei UI"/>
          <w:sz w:val="22"/>
        </w:rPr>
        <w:t>，承载一汽-工创工程落地；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 xml:space="preserve">一条 </w:t>
      </w:r>
      <w:r>
        <w:rPr>
          <w:rFonts w:ascii="Consolas" w:hAnsi="Consolas" w:eastAsia="Consolas"/>
          <w:sz w:val="22"/>
        </w:rPr>
        <w:t>B轨</w:t>
      </w:r>
      <w:r>
        <w:rPr>
          <w:rFonts w:ascii="Microsoft YaHei UI" w:hAnsi="Microsoft YaHei UI" w:eastAsia="Microsoft YaHei UI"/>
          <w:sz w:val="22"/>
        </w:rPr>
        <w:t>，承载专利-标准增强与合规；</w:t>
      </w:r>
    </w:p>
    <w:p>
      <w:pPr>
        <w:pStyle w:val="ListBullet"/>
        <w:ind w:left="0"/>
      </w:pPr>
      <w:r>
        <w:rPr>
          <w:rFonts w:ascii="Microsoft YaHei UI" w:hAnsi="Microsoft YaHei UI" w:eastAsia="Microsoft YaHei UI"/>
          <w:sz w:val="22"/>
        </w:rPr>
        <w:t>一套统一检查清单，承载最终执行。</w:t>
      </w:r>
    </w:p>
    <w:p>
      <w:r>
        <w:rPr>
          <w:rFonts w:ascii="Microsoft YaHei UI" w:hAnsi="Microsoft YaHei UI" w:eastAsia="Microsoft YaHei UI"/>
          <w:sz w:val="22"/>
        </w:rPr>
        <w:t>这样处理后，两份来源规范在逻辑上是合并的，在使用上是独立的，在后续维护上也更容易分开迭代。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 UI" w:hAnsi="Microsoft YaHei UI" w:eastAsia="Microsoft YaHei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 UI" w:hAnsi="Microsoft YaHei UI" w:eastAsia="Microsoft YaHei U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