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E2880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F4E79"/>
          <w:sz w:val="44"/>
        </w:rPr>
        <w:t>车载低轨卫星通信系统EMC正向设计规范</w:t>
      </w:r>
    </w:p>
    <w:p w14:paraId="5A117C96">
      <w:pPr>
        <w:jc w:val="center"/>
      </w:pPr>
      <w:r>
        <w:rPr>
          <w:rFonts w:ascii="微软雅黑" w:hAnsi="微软雅黑" w:eastAsia="微软雅黑"/>
          <w:b/>
          <w:color w:val="444444"/>
          <w:sz w:val="30"/>
        </w:rPr>
        <w:t>双轨整编增强版（接近完整版）</w:t>
      </w:r>
    </w:p>
    <w:p w14:paraId="54770AB0">
      <w:pPr>
        <w:jc w:val="center"/>
      </w:pPr>
      <w:r>
        <w:rPr>
          <w:sz w:val="21"/>
        </w:rPr>
        <w:t>编制思路：以“共性主文 + A轨工程实施线 + B轨规范增强线”的方式完成重组</w:t>
      </w:r>
    </w:p>
    <w:p w14:paraId="5BDE046B">
      <w:pPr>
        <w:jc w:val="center"/>
      </w:pPr>
      <w:r>
        <w:rPr>
          <w:sz w:val="21"/>
        </w:rPr>
        <w:t>适用场景：内部研发、方案评审、标准草案编制、项目交付与验收支撑</w:t>
      </w:r>
    </w:p>
    <w:p w14:paraId="21B24239">
      <w:pPr>
        <w:jc w:val="center"/>
      </w:pPr>
      <w:r>
        <w:rPr>
          <w:sz w:val="21"/>
        </w:rPr>
        <w:t>说明：本稿在保留双轨制策略的前提下，按完整版规范结构进行扩展整理，便于后续继续定版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0878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233795CB">
            <w:pPr>
              <w:spacing w:after="0" w:line="240" w:lineRule="auto"/>
            </w:pPr>
            <w:r>
              <w:t>文件属性</w:t>
            </w:r>
          </w:p>
        </w:tc>
        <w:tc>
          <w:tcPr>
            <w:tcW w:w="4816" w:type="dxa"/>
            <w:vAlign w:val="center"/>
          </w:tcPr>
          <w:p w14:paraId="501CB22E">
            <w:pPr>
              <w:spacing w:after="0" w:line="240" w:lineRule="auto"/>
            </w:pPr>
            <w:r>
              <w:t>新整编稿</w:t>
            </w:r>
          </w:p>
        </w:tc>
      </w:tr>
      <w:tr w14:paraId="3609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419730AB">
            <w:pPr>
              <w:spacing w:after="0" w:line="240" w:lineRule="auto"/>
            </w:pPr>
            <w:r>
              <w:t>组织方式</w:t>
            </w:r>
          </w:p>
        </w:tc>
        <w:tc>
          <w:tcPr>
            <w:tcW w:w="4816" w:type="dxa"/>
            <w:vAlign w:val="center"/>
          </w:tcPr>
          <w:p w14:paraId="00679B36">
            <w:pPr>
              <w:spacing w:after="0" w:line="240" w:lineRule="auto"/>
            </w:pPr>
            <w:r>
              <w:t>完整版结构承载正文，双轨机制嵌入各技术层</w:t>
            </w:r>
          </w:p>
        </w:tc>
      </w:tr>
      <w:tr w14:paraId="2270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6CCBCACC">
            <w:pPr>
              <w:spacing w:after="0" w:line="240" w:lineRule="auto"/>
            </w:pPr>
            <w:r>
              <w:t>建议用途</w:t>
            </w:r>
          </w:p>
        </w:tc>
        <w:tc>
          <w:tcPr>
            <w:tcW w:w="4816" w:type="dxa"/>
            <w:vAlign w:val="center"/>
          </w:tcPr>
          <w:p w14:paraId="528C1769">
            <w:pPr>
              <w:spacing w:after="0" w:line="240" w:lineRule="auto"/>
            </w:pPr>
            <w:r>
              <w:t>可作为后续正式规范/研究方案/标准稿的统一母版</w:t>
            </w:r>
          </w:p>
        </w:tc>
      </w:tr>
    </w:tbl>
    <w:p w14:paraId="0E73C1E1">
      <w:r>
        <w:br w:type="page"/>
      </w:r>
    </w:p>
    <w:p w14:paraId="1F22F121">
      <w:pPr>
        <w:pStyle w:val="3"/>
      </w:pPr>
      <w:r>
        <w:t>1 编制定位与整编目标</w:t>
      </w:r>
    </w:p>
    <w:p w14:paraId="743E296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本稿不是把既有材料简单拼接，而是在统一结构下完成重新整编：正文尽量接近完整规范文件的章节深度，同时保留双轨策略的独立价值。</w:t>
      </w:r>
    </w:p>
    <w:p w14:paraId="06B9303E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A轨为“一汽—工创工程实施线”，重点保留工程指标、平台集成、仿真链路、实车工况与项目化落地要求。</w:t>
      </w:r>
    </w:p>
    <w:p w14:paraId="5919894C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B轨为“专利—标准增强线”，重点保留标准限值、性能判据、条款溯源、专利映射与对外评审口径。</w:t>
      </w:r>
    </w:p>
    <w:p w14:paraId="62935870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共性主文只承载双方共同认可、且适合固化为统一文件骨架的内容；差异部分不被抹平，而是按双轨并列呈现。</w:t>
      </w:r>
    </w:p>
    <w:p w14:paraId="1523DBBA">
      <w:pPr>
        <w:pStyle w:val="3"/>
      </w:pPr>
      <w:r>
        <w:t>2 双轨整编方法与适用原则</w:t>
      </w:r>
    </w:p>
    <w:p w14:paraId="67908191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统一结构采用“三层承载”方式：共性主文用于形成稳定骨架；A轨用于工程实施深化；B轨用于标准与可追溯增强。</w:t>
      </w:r>
    </w:p>
    <w:p w14:paraId="661BFC90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当A轨指标更严、且更贴近项目实现时，内部研发阶段优先采用A轨；当B轨给出明确的标准限值、测试判据或对外口径时，评审、验收与对外文件优先采用B轨。</w:t>
      </w:r>
    </w:p>
    <w:p w14:paraId="7C4AD49F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若两轨内容并不冲突，则正文写成共性要求，并在相应条款下分别保留A轨实施要求和B轨增强要求。</w:t>
      </w:r>
    </w:p>
    <w:p w14:paraId="3571FF18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该结构可支持“一稿多用”：抽取共性主文+A轨，可形成工程实施稿；抽取共性主文+B轨，可形成规范/标准稿。</w:t>
      </w:r>
    </w:p>
    <w:p w14:paraId="1BDF0C54">
      <w:pPr>
        <w:pStyle w:val="3"/>
      </w:pPr>
      <w:r>
        <w:t>3 范围</w:t>
      </w:r>
    </w:p>
    <w:p w14:paraId="47AA4F2C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本文件规定了车载低轨卫星通信系统电磁兼容性（EMC）正向设计的总体要求、技术路线、设计层级、验证闭环以及交付体例。</w:t>
      </w:r>
    </w:p>
    <w:p w14:paraId="75E89D28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文件覆盖系统架构、天线与射频前端、硬件平台、线束布局、测试验证五个方面，兼顾方案论证、工程实现和标准化表达。</w:t>
      </w:r>
    </w:p>
    <w:p w14:paraId="6950E57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本文件适用于面向语音和/或数据业务的车载低轨卫星通信系统，包括车载卫星终端、车载卫星电话、卫星通信模组及其配套子系统的EMC正向设计活动。</w:t>
      </w:r>
    </w:p>
    <w:p w14:paraId="7F82D16C">
      <w:pPr>
        <w:pStyle w:val="3"/>
      </w:pPr>
      <w:r>
        <w:t>4 规范性引用与技术依据</w:t>
      </w:r>
    </w:p>
    <w:p w14:paraId="4FC52F6E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统一文件应保持对车载EMC、卫星通信和抗扰试验类标准的引用逻辑，同时保留工程方案、研究方案与专利对设计条款的支撑作用。</w:t>
      </w:r>
    </w:p>
    <w:p w14:paraId="1CF93EC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其中，YD/T 4517.4-2024 应作为车载卫星通信设备EMC要求和测量方法的核心依据；GB/T 18655、GB/T 19951、GB/T 21437.2/3、GB/T 33014.2/4 等作为关键配套标准。</w:t>
      </w:r>
    </w:p>
    <w:p w14:paraId="43E0CA44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一汽工程指标、工创中心总体设计方案、技术研究方案以及专利对照文件，应作为A轨或B轨的补充依据，不与规范性引用混写。</w:t>
      </w:r>
    </w:p>
    <w:p w14:paraId="576344D3">
      <w:pPr>
        <w:pStyle w:val="3"/>
      </w:pPr>
      <w:r>
        <w:t>5 术语、定义与缩略语</w:t>
      </w:r>
    </w:p>
    <w:p w14:paraId="4941EF7E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术语部分建议沿用完整版规范体例，保留“车载低轨卫星通信系统、EMC正向设计、自干扰、时域隔离、波束赋形、一体化天线、多普勒频率变化率、吞吐量”等关键术语。</w:t>
      </w:r>
    </w:p>
    <w:p w14:paraId="751365D0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定义表达宜保持规范性和稳定性，避免在术语章节引入过多方案性说明；双轨差异宜放入后续条款，不宜塞入定义本身。</w:t>
      </w:r>
    </w:p>
    <w:p w14:paraId="70A3FE76">
      <w:pPr>
        <w:pStyle w:val="3"/>
      </w:pPr>
      <w:r>
        <w:t>6 总体要求</w:t>
      </w:r>
    </w:p>
    <w:p w14:paraId="6DA1DEA9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EMC正向设计应遵循预测性、规避性、抑制性、协同性、可验证性五项原则。</w:t>
      </w:r>
    </w:p>
    <w:p w14:paraId="09A4A2F2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整体目标不是“测试末端整改通过”，而是在设计前期完成干扰识别、方案规避、硬件抑制、验证闭环的连续链路。</w:t>
      </w:r>
    </w:p>
    <w:p w14:paraId="67C164C2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统一后的目标体系应同时覆盖发射合规、抗扰可用、通信连续性、实车工况适应性和方案可追溯性。</w:t>
      </w:r>
    </w:p>
    <w:p w14:paraId="422E322A">
      <w:pPr>
        <w:pStyle w:val="3"/>
      </w:pPr>
      <w:r>
        <w:t>7 总体技术路线</w:t>
      </w:r>
    </w:p>
    <w:p w14:paraId="3A5D4D67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统一主线建议表述为：干扰对象识别 → 干扰路径分析 → 系统级规避 → 天线/射频抑制 → 硬件平台净化 → 线束与布局隔离 → 仿真验证 → 试验验证 → 闭环修正。</w:t>
      </w:r>
    </w:p>
    <w:p w14:paraId="63404BF5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A轨强调把问题前移到方案与平台阶段；B轨强调把条款、限值和性能判据前移到设计输入阶段；共性主文则强调全过程闭环。</w:t>
      </w:r>
    </w:p>
    <w:p w14:paraId="75B92E8A">
      <w:pPr>
        <w:pStyle w:val="3"/>
      </w:pPr>
      <w:r>
        <w:t>8 系统架构层正向设计要求</w:t>
      </w:r>
    </w:p>
    <w:p w14:paraId="624E6FB3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系统架构层是EMC正向设计的首要层级，应在设计初期识别卫星通信、GNSS、4G/5G、Wi‑Fi、蓝牙等模块的频域、时域和空间共存关系。</w:t>
      </w:r>
    </w:p>
    <w:p w14:paraId="5F69597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应建立统一的资源调度与通信状态管理机制，避免多模块无序并发导致系统内自干扰、资源冲突和业务不连续。</w:t>
      </w:r>
    </w:p>
    <w:p w14:paraId="12A89109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A轨宜保留实车高速、多普勒变化、网络切换、定位备份、业务连续性等工程化要求；B轨宜保留时域隔离、卫星/蜂窝协同、数据通道选择、免测频段逻辑和相关专利条款映射。</w:t>
      </w:r>
    </w:p>
    <w:p w14:paraId="4367C9C4">
      <w:pPr>
        <w:pStyle w:val="3"/>
      </w:pPr>
      <w:r>
        <w:t>9 天线与射频前端正向设计要求</w:t>
      </w:r>
    </w:p>
    <w:p w14:paraId="11ED8306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天线与射频前端既是高功率发射能量的输出边界，也是高灵敏度接收通道的输入边界，是EMC问题最集中的层级之一。</w:t>
      </w:r>
    </w:p>
    <w:p w14:paraId="2742D9FA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统一正文宜保留多阵元平面阵列、波束赋形、低轮廓定向天线、天线车顶布局、射频链路滤波、杂散抑制和抗干扰零陷设计等共性内容。</w:t>
      </w:r>
    </w:p>
    <w:p w14:paraId="57FA113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A轨宜强化仰角覆盖、实装空间约束、天线罩影响、平台结构适配与下线检测要求；B轨宜强化辐射杂散、辐射抗扰度和专利参数化条款映射。</w:t>
      </w:r>
    </w:p>
    <w:p w14:paraId="7A5EEB53">
      <w:pPr>
        <w:pStyle w:val="3"/>
      </w:pPr>
      <w:r>
        <w:t>10 硬件平台正向设计要求</w:t>
      </w:r>
    </w:p>
    <w:p w14:paraId="34142560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硬件平台层应同时控制数字电路噪声、射频敏感度退化、壳体缝隙辐射、共阻抗耦合和静电/瞬态冲击风险。</w:t>
      </w:r>
    </w:p>
    <w:p w14:paraId="41728C29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共性要求宜包括模块化分区、金属屏蔽、分层接地、电源完整性、关键时钟与高速接口布局、滤波与接口保护。</w:t>
      </w:r>
    </w:p>
    <w:p w14:paraId="09A7998E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A轨宜保留狭小车载空间下的集成约束、连接器可靠性、震动工况、平台化器件与联合仿真要求；B轨宜保留对BCI、ESD、辐射骚扰和传导骚扰等测试条款的映射关系。</w:t>
      </w:r>
    </w:p>
    <w:p w14:paraId="4072D809">
      <w:pPr>
        <w:pStyle w:val="3"/>
      </w:pPr>
      <w:r>
        <w:t>11 线束布局正向设计要求</w:t>
      </w:r>
    </w:p>
    <w:p w14:paraId="51DE86F0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线束布局层应控制线缆耦合路径、回流路径连续性、供电噪声扩散和外部端口发射风险。</w:t>
      </w:r>
    </w:p>
    <w:p w14:paraId="3F238F3F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统一正文建议固化线束分级分区、强弱电分离、关键信号差分与屏蔽、回流连续、连接器接地与搭接、穿舱与拐角布线约束。</w:t>
      </w:r>
    </w:p>
    <w:p w14:paraId="5D833646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A轨宜强化整车布置、装配可实施性与维护便利性；B轨宜强化传导骚扰、电瞬态及相关条款口径。</w:t>
      </w:r>
    </w:p>
    <w:p w14:paraId="6CFD6C48">
      <w:pPr>
        <w:pStyle w:val="3"/>
      </w:pPr>
      <w:r>
        <w:t>12 测试验证与闭环机制</w:t>
      </w:r>
    </w:p>
    <w:p w14:paraId="0B09CAAB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验证部分应从“设计验证平台+标准化试验+实车验证”三个层面构成闭环，而不是仅保留最终实验室试验。</w:t>
      </w:r>
    </w:p>
    <w:p w14:paraId="4A6BDAAD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仿真平台宜覆盖系统级EMC建模、车辆典型电磁环境、多普勒频移、天线互耦、电源与地网络、关键线束耦合路径。</w:t>
      </w:r>
    </w:p>
    <w:p w14:paraId="2DA4E256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标准化试验应覆盖辐射杂散、辐射骚扰、传导骚扰、ESD、辐射抗扰度、BCI、电瞬态等项目，并与性能判据A/B/C联动判定。</w:t>
      </w:r>
    </w:p>
    <w:p w14:paraId="749219DA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实车验证宜关注高速行驶、弱覆盖、网络切换、定位连续性和多模块同时运行工况，以验证工程目标与规范目标的一致性。</w:t>
      </w:r>
    </w:p>
    <w:p w14:paraId="7E2DCCAE">
      <w:pPr>
        <w:pStyle w:val="3"/>
      </w:pPr>
      <w:r>
        <w:t>13 交付体例与使用建议</w:t>
      </w:r>
    </w:p>
    <w:p w14:paraId="5E98B912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统一母版建议保留“正文+附录”的正规体例。正文负责表达稳定条款，附录负责承载检查清单、指标表、专利与标准对照、典型仿真场景、术语补充等内容。</w:t>
      </w:r>
    </w:p>
    <w:p w14:paraId="11C76487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对外正式发布时，可优先固化共性主文与B轨增强内容；对内项目实施时，可保留共性主文与A轨实施内容；双轨说明本身可保留在编制说明或资料性附录中。</w:t>
      </w:r>
    </w:p>
    <w:p w14:paraId="778B98E8">
      <w:pPr>
        <w:pStyle w:val="3"/>
      </w:pPr>
      <w:r>
        <w:t>14 附件设置建议</w:t>
      </w:r>
    </w:p>
    <w:p w14:paraId="0703F6CA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建议至少设置以下附件：EMC正向设计检查清单、工程指标表、主要标准与试验项目对照表、专利与条款映射表、仿真与测试闭环记录表。</w:t>
      </w:r>
    </w:p>
    <w:p w14:paraId="168252B6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附件既要便于评审，也要便于项目执行，不宜只做资料堆砌。</w:t>
      </w:r>
    </w:p>
    <w:p w14:paraId="2F23C090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表1 双轨角色定位表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2551"/>
        <w:gridCol w:w="2551"/>
      </w:tblGrid>
      <w:tr w14:paraId="464E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25BEDB4D">
            <w:pPr>
              <w:spacing w:after="0" w:line="240" w:lineRule="auto"/>
            </w:pPr>
            <w:r>
              <w:t>维度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C894317">
            <w:pPr>
              <w:spacing w:after="0" w:line="240" w:lineRule="auto"/>
            </w:pPr>
            <w:r>
              <w:t>共性主文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5D06AFE">
            <w:pPr>
              <w:spacing w:after="0" w:line="240" w:lineRule="auto"/>
            </w:pPr>
            <w:r>
              <w:t>A轨工程实施线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77EA451">
            <w:pPr>
              <w:spacing w:after="0" w:line="240" w:lineRule="auto"/>
            </w:pPr>
            <w:r>
              <w:t>B轨规范增强线</w:t>
            </w:r>
          </w:p>
        </w:tc>
      </w:tr>
      <w:tr w14:paraId="65E2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7B2F0FF">
            <w:pPr>
              <w:spacing w:after="0" w:line="240" w:lineRule="auto"/>
            </w:pPr>
            <w:r>
              <w:t>核心作用</w:t>
            </w:r>
          </w:p>
        </w:tc>
        <w:tc>
          <w:tcPr>
            <w:tcW w:w="2381" w:type="dxa"/>
            <w:vAlign w:val="center"/>
          </w:tcPr>
          <w:p w14:paraId="03B099DC">
            <w:pPr>
              <w:spacing w:after="0" w:line="240" w:lineRule="auto"/>
            </w:pPr>
            <w:r>
              <w:t>形成统一骨架</w:t>
            </w:r>
          </w:p>
        </w:tc>
        <w:tc>
          <w:tcPr>
            <w:tcW w:w="2551" w:type="dxa"/>
            <w:vAlign w:val="center"/>
          </w:tcPr>
          <w:p w14:paraId="53D8543C">
            <w:pPr>
              <w:spacing w:after="0" w:line="240" w:lineRule="auto"/>
            </w:pPr>
            <w:r>
              <w:t>保障项目可落地</w:t>
            </w:r>
          </w:p>
        </w:tc>
        <w:tc>
          <w:tcPr>
            <w:tcW w:w="2551" w:type="dxa"/>
            <w:vAlign w:val="center"/>
          </w:tcPr>
          <w:p w14:paraId="053CFC1C">
            <w:pPr>
              <w:spacing w:after="0" w:line="240" w:lineRule="auto"/>
            </w:pPr>
            <w:r>
              <w:t>保障条款可追溯与对外口径</w:t>
            </w:r>
          </w:p>
        </w:tc>
      </w:tr>
      <w:tr w14:paraId="6B66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1CA9E225">
            <w:pPr>
              <w:spacing w:after="0" w:line="240" w:lineRule="auto"/>
            </w:pPr>
            <w:r>
              <w:t>内容重心</w:t>
            </w:r>
          </w:p>
        </w:tc>
        <w:tc>
          <w:tcPr>
            <w:tcW w:w="2381" w:type="dxa"/>
            <w:vAlign w:val="center"/>
          </w:tcPr>
          <w:p w14:paraId="746ABBF1">
            <w:pPr>
              <w:spacing w:after="0" w:line="240" w:lineRule="auto"/>
            </w:pPr>
            <w:r>
              <w:t>稳定章节、通用要求、统一流程</w:t>
            </w:r>
          </w:p>
        </w:tc>
        <w:tc>
          <w:tcPr>
            <w:tcW w:w="2551" w:type="dxa"/>
            <w:vAlign w:val="center"/>
          </w:tcPr>
          <w:p w14:paraId="24AD6EC4">
            <w:pPr>
              <w:spacing w:after="0" w:line="240" w:lineRule="auto"/>
            </w:pPr>
            <w:r>
              <w:t>工程指标、平台方案、仿真与实车要求</w:t>
            </w:r>
          </w:p>
        </w:tc>
        <w:tc>
          <w:tcPr>
            <w:tcW w:w="2551" w:type="dxa"/>
            <w:vAlign w:val="center"/>
          </w:tcPr>
          <w:p w14:paraId="3D398978">
            <w:pPr>
              <w:spacing w:after="0" w:line="240" w:lineRule="auto"/>
            </w:pPr>
            <w:r>
              <w:t>标准限值、判据、专利与条款映射</w:t>
            </w:r>
          </w:p>
        </w:tc>
      </w:tr>
      <w:tr w14:paraId="2185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406463B">
            <w:pPr>
              <w:spacing w:after="0" w:line="240" w:lineRule="auto"/>
            </w:pPr>
            <w:r>
              <w:t>优先场景</w:t>
            </w:r>
          </w:p>
        </w:tc>
        <w:tc>
          <w:tcPr>
            <w:tcW w:w="2381" w:type="dxa"/>
            <w:vAlign w:val="center"/>
          </w:tcPr>
          <w:p w14:paraId="0403A7A9">
            <w:pPr>
              <w:spacing w:after="0" w:line="240" w:lineRule="auto"/>
            </w:pPr>
            <w:r>
              <w:t>所有场景共用</w:t>
            </w:r>
          </w:p>
        </w:tc>
        <w:tc>
          <w:tcPr>
            <w:tcW w:w="2551" w:type="dxa"/>
            <w:vAlign w:val="center"/>
          </w:tcPr>
          <w:p w14:paraId="2C25BDAB">
            <w:pPr>
              <w:spacing w:after="0" w:line="240" w:lineRule="auto"/>
            </w:pPr>
            <w:r>
              <w:t>内部研发、方案设计、项目推进</w:t>
            </w:r>
          </w:p>
        </w:tc>
        <w:tc>
          <w:tcPr>
            <w:tcW w:w="2551" w:type="dxa"/>
            <w:vAlign w:val="center"/>
          </w:tcPr>
          <w:p w14:paraId="0FABEB5A">
            <w:pPr>
              <w:spacing w:after="0" w:line="240" w:lineRule="auto"/>
            </w:pPr>
            <w:r>
              <w:t>评审、验收、标准草案、对外说明</w:t>
            </w:r>
          </w:p>
        </w:tc>
      </w:tr>
      <w:tr w14:paraId="6FB6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0505D683">
            <w:pPr>
              <w:spacing w:after="0" w:line="240" w:lineRule="auto"/>
            </w:pPr>
            <w:r>
              <w:t>输出方式</w:t>
            </w:r>
          </w:p>
        </w:tc>
        <w:tc>
          <w:tcPr>
            <w:tcW w:w="2381" w:type="dxa"/>
            <w:vAlign w:val="center"/>
          </w:tcPr>
          <w:p w14:paraId="0E833969">
            <w:pPr>
              <w:spacing w:after="0" w:line="240" w:lineRule="auto"/>
            </w:pPr>
            <w:r>
              <w:t>正文固定承载</w:t>
            </w:r>
          </w:p>
        </w:tc>
        <w:tc>
          <w:tcPr>
            <w:tcW w:w="2551" w:type="dxa"/>
            <w:vAlign w:val="center"/>
          </w:tcPr>
          <w:p w14:paraId="7118BFCE">
            <w:pPr>
              <w:spacing w:after="0" w:line="240" w:lineRule="auto"/>
            </w:pPr>
            <w:r>
              <w:t>正文子条款或资料性附录</w:t>
            </w:r>
          </w:p>
        </w:tc>
        <w:tc>
          <w:tcPr>
            <w:tcW w:w="2551" w:type="dxa"/>
            <w:vAlign w:val="center"/>
          </w:tcPr>
          <w:p w14:paraId="3DC4F64B">
            <w:pPr>
              <w:spacing w:after="0" w:line="240" w:lineRule="auto"/>
            </w:pPr>
            <w:r>
              <w:t>正文子条款或附录对照表</w:t>
            </w:r>
          </w:p>
        </w:tc>
      </w:tr>
    </w:tbl>
    <w:p w14:paraId="60ACC3D5"/>
    <w:p w14:paraId="058810F9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表2 冲突处理与选用原则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685"/>
        <w:gridCol w:w="3402"/>
      </w:tblGrid>
      <w:tr w14:paraId="4A588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4FA0546">
            <w:pPr>
              <w:spacing w:after="0" w:line="240" w:lineRule="auto"/>
            </w:pPr>
            <w:r>
              <w:t>情形</w:t>
            </w:r>
          </w:p>
        </w:tc>
        <w:tc>
          <w:tcPr>
            <w:tcW w:w="3685" w:type="dxa"/>
            <w:shd w:val="clear" w:color="auto" w:fill="D9EAF7"/>
            <w:vAlign w:val="center"/>
          </w:tcPr>
          <w:p w14:paraId="657A3D5B">
            <w:pPr>
              <w:spacing w:after="0" w:line="240" w:lineRule="auto"/>
            </w:pPr>
            <w:r>
              <w:t>处理规则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9BF75E">
            <w:pPr>
              <w:spacing w:after="0" w:line="240" w:lineRule="auto"/>
            </w:pPr>
            <w:r>
              <w:t>建议输出</w:t>
            </w:r>
          </w:p>
        </w:tc>
      </w:tr>
      <w:tr w14:paraId="3B222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06E2FB">
            <w:pPr>
              <w:spacing w:after="0" w:line="240" w:lineRule="auto"/>
            </w:pPr>
            <w:r>
              <w:t>A轨更严且可实施</w:t>
            </w:r>
          </w:p>
        </w:tc>
        <w:tc>
          <w:tcPr>
            <w:tcW w:w="3685" w:type="dxa"/>
            <w:vAlign w:val="center"/>
          </w:tcPr>
          <w:p w14:paraId="2C69702F">
            <w:pPr>
              <w:spacing w:after="0" w:line="240" w:lineRule="auto"/>
            </w:pPr>
            <w:r>
              <w:t>内部设计阶段优先采用A轨</w:t>
            </w:r>
          </w:p>
        </w:tc>
        <w:tc>
          <w:tcPr>
            <w:tcW w:w="3402" w:type="dxa"/>
            <w:vAlign w:val="center"/>
          </w:tcPr>
          <w:p w14:paraId="0DF84110">
            <w:pPr>
              <w:spacing w:after="0" w:line="240" w:lineRule="auto"/>
            </w:pPr>
            <w:r>
              <w:t>写入A轨实施要求</w:t>
            </w:r>
          </w:p>
        </w:tc>
      </w:tr>
      <w:tr w14:paraId="3D95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7ACA6EB">
            <w:pPr>
              <w:spacing w:after="0" w:line="240" w:lineRule="auto"/>
            </w:pPr>
            <w:r>
              <w:t>B轨存在明确标准限值/判据</w:t>
            </w:r>
          </w:p>
        </w:tc>
        <w:tc>
          <w:tcPr>
            <w:tcW w:w="3685" w:type="dxa"/>
            <w:vAlign w:val="center"/>
          </w:tcPr>
          <w:p w14:paraId="03A222CB">
            <w:pPr>
              <w:spacing w:after="0" w:line="240" w:lineRule="auto"/>
            </w:pPr>
            <w:r>
              <w:t>对外与验收阶段优先采用B轨</w:t>
            </w:r>
          </w:p>
        </w:tc>
        <w:tc>
          <w:tcPr>
            <w:tcW w:w="3402" w:type="dxa"/>
            <w:vAlign w:val="center"/>
          </w:tcPr>
          <w:p w14:paraId="55DD20B7">
            <w:pPr>
              <w:spacing w:after="0" w:line="240" w:lineRule="auto"/>
            </w:pPr>
            <w:r>
              <w:t>写入B轨增强要求</w:t>
            </w:r>
          </w:p>
        </w:tc>
      </w:tr>
      <w:tr w14:paraId="254D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64E3065">
            <w:pPr>
              <w:spacing w:after="0" w:line="240" w:lineRule="auto"/>
            </w:pPr>
            <w:r>
              <w:t>两轨不冲突</w:t>
            </w:r>
          </w:p>
        </w:tc>
        <w:tc>
          <w:tcPr>
            <w:tcW w:w="3685" w:type="dxa"/>
            <w:vAlign w:val="center"/>
          </w:tcPr>
          <w:p w14:paraId="6107EAE9">
            <w:pPr>
              <w:spacing w:after="0" w:line="240" w:lineRule="auto"/>
            </w:pPr>
            <w:r>
              <w:t>提炼为共性要求，双方差异保留在子条款</w:t>
            </w:r>
          </w:p>
        </w:tc>
        <w:tc>
          <w:tcPr>
            <w:tcW w:w="3402" w:type="dxa"/>
            <w:vAlign w:val="center"/>
          </w:tcPr>
          <w:p w14:paraId="1C79A1B2">
            <w:pPr>
              <w:spacing w:after="0" w:line="240" w:lineRule="auto"/>
            </w:pPr>
            <w:r>
              <w:t>正文并列呈现</w:t>
            </w:r>
          </w:p>
        </w:tc>
      </w:tr>
      <w:tr w14:paraId="2015A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A26EF43">
            <w:pPr>
              <w:spacing w:after="0" w:line="240" w:lineRule="auto"/>
            </w:pPr>
            <w:r>
              <w:t>暂时无统一结论</w:t>
            </w:r>
          </w:p>
        </w:tc>
        <w:tc>
          <w:tcPr>
            <w:tcW w:w="3685" w:type="dxa"/>
            <w:vAlign w:val="center"/>
          </w:tcPr>
          <w:p w14:paraId="63101E41">
            <w:pPr>
              <w:spacing w:after="0" w:line="240" w:lineRule="auto"/>
            </w:pPr>
            <w:r>
              <w:t>主文不硬性统一，附注适用边界</w:t>
            </w:r>
          </w:p>
        </w:tc>
        <w:tc>
          <w:tcPr>
            <w:tcW w:w="3402" w:type="dxa"/>
            <w:vAlign w:val="center"/>
          </w:tcPr>
          <w:p w14:paraId="088D4870">
            <w:pPr>
              <w:spacing w:after="0" w:line="240" w:lineRule="auto"/>
            </w:pPr>
            <w:r>
              <w:t>列入后续定版事项</w:t>
            </w:r>
          </w:p>
        </w:tc>
      </w:tr>
    </w:tbl>
    <w:p w14:paraId="3733DD38"/>
    <w:p w14:paraId="2428B393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表3 统一后的目标体系建议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556"/>
        <w:gridCol w:w="1984"/>
      </w:tblGrid>
      <w:tr w14:paraId="1B548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9EABD0C">
            <w:pPr>
              <w:spacing w:after="0" w:line="240" w:lineRule="auto"/>
            </w:pPr>
            <w:r>
              <w:t>目标类别</w:t>
            </w:r>
          </w:p>
        </w:tc>
        <w:tc>
          <w:tcPr>
            <w:tcW w:w="5556" w:type="dxa"/>
            <w:shd w:val="clear" w:color="auto" w:fill="D9EAF7"/>
            <w:vAlign w:val="center"/>
          </w:tcPr>
          <w:p w14:paraId="09053F9F">
            <w:pPr>
              <w:spacing w:after="0" w:line="240" w:lineRule="auto"/>
            </w:pPr>
            <w:r>
              <w:t>建议保留内容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19C0B9E1">
            <w:pPr>
              <w:spacing w:after="0" w:line="240" w:lineRule="auto"/>
            </w:pPr>
            <w:r>
              <w:t>主承载轨</w:t>
            </w:r>
          </w:p>
        </w:tc>
      </w:tr>
      <w:tr w14:paraId="2287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DB1CDD5">
            <w:pPr>
              <w:spacing w:after="0" w:line="240" w:lineRule="auto"/>
            </w:pPr>
            <w:r>
              <w:t>发射合规</w:t>
            </w:r>
          </w:p>
        </w:tc>
        <w:tc>
          <w:tcPr>
            <w:tcW w:w="5556" w:type="dxa"/>
            <w:vAlign w:val="center"/>
          </w:tcPr>
          <w:p w14:paraId="3A076B20">
            <w:pPr>
              <w:spacing w:after="0" w:line="240" w:lineRule="auto"/>
            </w:pPr>
            <w:r>
              <w:t>辐射杂散、辐射骚扰、传导骚扰满足相应要求</w:t>
            </w:r>
          </w:p>
        </w:tc>
        <w:tc>
          <w:tcPr>
            <w:tcW w:w="1984" w:type="dxa"/>
            <w:vAlign w:val="center"/>
          </w:tcPr>
          <w:p w14:paraId="2765993D">
            <w:pPr>
              <w:spacing w:after="0" w:line="240" w:lineRule="auto"/>
            </w:pPr>
            <w:r>
              <w:t>B轨/共性</w:t>
            </w:r>
          </w:p>
        </w:tc>
      </w:tr>
      <w:tr w14:paraId="20B30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B2A23C7">
            <w:pPr>
              <w:spacing w:after="0" w:line="240" w:lineRule="auto"/>
            </w:pPr>
            <w:r>
              <w:t>抗扰可用</w:t>
            </w:r>
          </w:p>
        </w:tc>
        <w:tc>
          <w:tcPr>
            <w:tcW w:w="5556" w:type="dxa"/>
            <w:vAlign w:val="center"/>
          </w:tcPr>
          <w:p w14:paraId="6FD54348">
            <w:pPr>
              <w:spacing w:after="0" w:line="240" w:lineRule="auto"/>
            </w:pPr>
            <w:r>
              <w:t>ESD、辐射抗扰度、BCI、电瞬态下保持功能</w:t>
            </w:r>
          </w:p>
        </w:tc>
        <w:tc>
          <w:tcPr>
            <w:tcW w:w="1984" w:type="dxa"/>
            <w:vAlign w:val="center"/>
          </w:tcPr>
          <w:p w14:paraId="3150B219">
            <w:pPr>
              <w:spacing w:after="0" w:line="240" w:lineRule="auto"/>
            </w:pPr>
            <w:r>
              <w:t>B轨/共性</w:t>
            </w:r>
          </w:p>
        </w:tc>
      </w:tr>
      <w:tr w14:paraId="718E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6A80FF">
            <w:pPr>
              <w:spacing w:after="0" w:line="240" w:lineRule="auto"/>
            </w:pPr>
            <w:r>
              <w:t>业务连续性</w:t>
            </w:r>
          </w:p>
        </w:tc>
        <w:tc>
          <w:tcPr>
            <w:tcW w:w="5556" w:type="dxa"/>
            <w:vAlign w:val="center"/>
          </w:tcPr>
          <w:p w14:paraId="7881C728">
            <w:pPr>
              <w:spacing w:after="0" w:line="240" w:lineRule="auto"/>
            </w:pPr>
            <w:r>
              <w:t>保持连接、吞吐量不明显劣化、关键业务可恢复</w:t>
            </w:r>
          </w:p>
        </w:tc>
        <w:tc>
          <w:tcPr>
            <w:tcW w:w="1984" w:type="dxa"/>
            <w:vAlign w:val="center"/>
          </w:tcPr>
          <w:p w14:paraId="3981DFFA">
            <w:pPr>
              <w:spacing w:after="0" w:line="240" w:lineRule="auto"/>
            </w:pPr>
            <w:r>
              <w:t>A轨+B轨</w:t>
            </w:r>
          </w:p>
        </w:tc>
      </w:tr>
      <w:tr w14:paraId="478EA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07FC7DB">
            <w:pPr>
              <w:spacing w:after="0" w:line="240" w:lineRule="auto"/>
            </w:pPr>
            <w:r>
              <w:t>工程适配性</w:t>
            </w:r>
          </w:p>
        </w:tc>
        <w:tc>
          <w:tcPr>
            <w:tcW w:w="5556" w:type="dxa"/>
            <w:vAlign w:val="center"/>
          </w:tcPr>
          <w:p w14:paraId="1168B301">
            <w:pPr>
              <w:spacing w:after="0" w:line="240" w:lineRule="auto"/>
            </w:pPr>
            <w:r>
              <w:t>高速、振动、空间受限、整车安装条件下可实施</w:t>
            </w:r>
          </w:p>
        </w:tc>
        <w:tc>
          <w:tcPr>
            <w:tcW w:w="1984" w:type="dxa"/>
            <w:vAlign w:val="center"/>
          </w:tcPr>
          <w:p w14:paraId="50D89E0C">
            <w:pPr>
              <w:spacing w:after="0" w:line="240" w:lineRule="auto"/>
            </w:pPr>
            <w:r>
              <w:t>A轨</w:t>
            </w:r>
          </w:p>
        </w:tc>
      </w:tr>
      <w:tr w14:paraId="2F83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8E7029">
            <w:pPr>
              <w:spacing w:after="0" w:line="240" w:lineRule="auto"/>
            </w:pPr>
            <w:r>
              <w:t>可追溯性</w:t>
            </w:r>
          </w:p>
        </w:tc>
        <w:tc>
          <w:tcPr>
            <w:tcW w:w="5556" w:type="dxa"/>
            <w:vAlign w:val="center"/>
          </w:tcPr>
          <w:p w14:paraId="077783E2">
            <w:pPr>
              <w:spacing w:after="0" w:line="240" w:lineRule="auto"/>
            </w:pPr>
            <w:r>
              <w:t>条款来源、标准边界、专利支撑清晰</w:t>
            </w:r>
          </w:p>
        </w:tc>
        <w:tc>
          <w:tcPr>
            <w:tcW w:w="1984" w:type="dxa"/>
            <w:vAlign w:val="center"/>
          </w:tcPr>
          <w:p w14:paraId="4669E8F7">
            <w:pPr>
              <w:spacing w:after="0" w:line="240" w:lineRule="auto"/>
            </w:pPr>
            <w:r>
              <w:t>B轨</w:t>
            </w:r>
          </w:p>
        </w:tc>
      </w:tr>
    </w:tbl>
    <w:p w14:paraId="627BDCBE"/>
    <w:p w14:paraId="54996E3E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表4 推荐保留的关键标准与依据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082"/>
        <w:gridCol w:w="3515"/>
      </w:tblGrid>
      <w:tr w14:paraId="6531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42A34ADD">
            <w:pPr>
              <w:spacing w:after="0" w:line="240" w:lineRule="auto"/>
            </w:pPr>
            <w:r>
              <w:t>类别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260DFC7A">
            <w:pPr>
              <w:spacing w:after="0" w:line="240" w:lineRule="auto"/>
            </w:pPr>
            <w:r>
              <w:t>建议保留依据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7C4F7333">
            <w:pPr>
              <w:spacing w:after="0" w:line="240" w:lineRule="auto"/>
            </w:pPr>
            <w:r>
              <w:t>用途</w:t>
            </w:r>
          </w:p>
        </w:tc>
      </w:tr>
      <w:tr w14:paraId="3D24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7C57F536">
            <w:pPr>
              <w:spacing w:after="0" w:line="240" w:lineRule="auto"/>
            </w:pPr>
            <w:r>
              <w:t>核心行业标准</w:t>
            </w:r>
          </w:p>
        </w:tc>
        <w:tc>
          <w:tcPr>
            <w:tcW w:w="4082" w:type="dxa"/>
            <w:vAlign w:val="center"/>
          </w:tcPr>
          <w:p w14:paraId="1508CD11">
            <w:pPr>
              <w:spacing w:after="0" w:line="240" w:lineRule="auto"/>
            </w:pPr>
            <w:r>
              <w:t>YD/T 4517.4-2024</w:t>
            </w:r>
          </w:p>
        </w:tc>
        <w:tc>
          <w:tcPr>
            <w:tcW w:w="3515" w:type="dxa"/>
            <w:vAlign w:val="center"/>
          </w:tcPr>
          <w:p w14:paraId="479CCBC6">
            <w:pPr>
              <w:spacing w:after="0" w:line="240" w:lineRule="auto"/>
            </w:pPr>
            <w:r>
              <w:t>车载卫星通信设备EMC要求与试验依据</w:t>
            </w:r>
          </w:p>
        </w:tc>
      </w:tr>
      <w:tr w14:paraId="3E03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3B3F758">
            <w:pPr>
              <w:spacing w:after="0" w:line="240" w:lineRule="auto"/>
            </w:pPr>
            <w:r>
              <w:t>发射类</w:t>
            </w:r>
          </w:p>
        </w:tc>
        <w:tc>
          <w:tcPr>
            <w:tcW w:w="4082" w:type="dxa"/>
            <w:vAlign w:val="center"/>
          </w:tcPr>
          <w:p w14:paraId="246A35FD">
            <w:pPr>
              <w:spacing w:after="0" w:line="240" w:lineRule="auto"/>
            </w:pPr>
            <w:r>
              <w:t>GB/T 18655、YD/T 1483</w:t>
            </w:r>
          </w:p>
        </w:tc>
        <w:tc>
          <w:tcPr>
            <w:tcW w:w="3515" w:type="dxa"/>
            <w:vAlign w:val="center"/>
          </w:tcPr>
          <w:p w14:paraId="66754598">
            <w:pPr>
              <w:spacing w:after="0" w:line="240" w:lineRule="auto"/>
            </w:pPr>
            <w:r>
              <w:t>发射限值与测量方法支撑</w:t>
            </w:r>
          </w:p>
        </w:tc>
      </w:tr>
      <w:tr w14:paraId="5AEF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2778DB0D">
            <w:pPr>
              <w:spacing w:after="0" w:line="240" w:lineRule="auto"/>
            </w:pPr>
            <w:r>
              <w:t>抗扰类</w:t>
            </w:r>
          </w:p>
        </w:tc>
        <w:tc>
          <w:tcPr>
            <w:tcW w:w="4082" w:type="dxa"/>
            <w:vAlign w:val="center"/>
          </w:tcPr>
          <w:p w14:paraId="24613867">
            <w:pPr>
              <w:spacing w:after="0" w:line="240" w:lineRule="auto"/>
            </w:pPr>
            <w:r>
              <w:t>GB/T 19951、GB/T 33014.2、GB/T 33014.4</w:t>
            </w:r>
          </w:p>
        </w:tc>
        <w:tc>
          <w:tcPr>
            <w:tcW w:w="3515" w:type="dxa"/>
            <w:vAlign w:val="center"/>
          </w:tcPr>
          <w:p w14:paraId="4283A9DA">
            <w:pPr>
              <w:spacing w:after="0" w:line="240" w:lineRule="auto"/>
            </w:pPr>
            <w:r>
              <w:t>ESD、辐射抗扰度、BCI试验依据</w:t>
            </w:r>
          </w:p>
        </w:tc>
      </w:tr>
      <w:tr w14:paraId="2BA6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5ACC6E4C">
            <w:pPr>
              <w:spacing w:after="0" w:line="240" w:lineRule="auto"/>
            </w:pPr>
            <w:r>
              <w:t>瞬态类</w:t>
            </w:r>
          </w:p>
        </w:tc>
        <w:tc>
          <w:tcPr>
            <w:tcW w:w="4082" w:type="dxa"/>
            <w:vAlign w:val="center"/>
          </w:tcPr>
          <w:p w14:paraId="11541473">
            <w:pPr>
              <w:spacing w:after="0" w:line="240" w:lineRule="auto"/>
            </w:pPr>
            <w:r>
              <w:t>GB/T 21437.2、GB/T 21437.3</w:t>
            </w:r>
          </w:p>
        </w:tc>
        <w:tc>
          <w:tcPr>
            <w:tcW w:w="3515" w:type="dxa"/>
            <w:vAlign w:val="center"/>
          </w:tcPr>
          <w:p w14:paraId="4834A070">
            <w:pPr>
              <w:spacing w:after="0" w:line="240" w:lineRule="auto"/>
            </w:pPr>
            <w:r>
              <w:t>电源线与非电源线瞬态骚扰依据</w:t>
            </w:r>
          </w:p>
        </w:tc>
      </w:tr>
      <w:tr w14:paraId="72327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464864A5">
            <w:pPr>
              <w:spacing w:after="0" w:line="240" w:lineRule="auto"/>
            </w:pPr>
            <w:r>
              <w:t>工程与研究依据</w:t>
            </w:r>
          </w:p>
        </w:tc>
        <w:tc>
          <w:tcPr>
            <w:tcW w:w="4082" w:type="dxa"/>
            <w:vAlign w:val="center"/>
          </w:tcPr>
          <w:p w14:paraId="3EF91C1A">
            <w:pPr>
              <w:spacing w:after="0" w:line="240" w:lineRule="auto"/>
            </w:pPr>
            <w:r>
              <w:t>0312规范、技术研究方案、工创方案</w:t>
            </w:r>
          </w:p>
        </w:tc>
        <w:tc>
          <w:tcPr>
            <w:tcW w:w="3515" w:type="dxa"/>
            <w:vAlign w:val="center"/>
          </w:tcPr>
          <w:p w14:paraId="5384093F">
            <w:pPr>
              <w:spacing w:after="0" w:line="240" w:lineRule="auto"/>
            </w:pPr>
            <w:r>
              <w:t>工程实现与场景扩展支撑</w:t>
            </w:r>
          </w:p>
        </w:tc>
      </w:tr>
      <w:tr w14:paraId="4E51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 w14:paraId="65DEA1C5">
            <w:pPr>
              <w:spacing w:after="0" w:line="240" w:lineRule="auto"/>
            </w:pPr>
            <w:r>
              <w:t>溯源依据</w:t>
            </w:r>
          </w:p>
        </w:tc>
        <w:tc>
          <w:tcPr>
            <w:tcW w:w="4082" w:type="dxa"/>
            <w:vAlign w:val="center"/>
          </w:tcPr>
          <w:p w14:paraId="02A4889E">
            <w:pPr>
              <w:spacing w:after="0" w:line="240" w:lineRule="auto"/>
            </w:pPr>
            <w:r>
              <w:t>专利与标准对照文件</w:t>
            </w:r>
          </w:p>
        </w:tc>
        <w:tc>
          <w:tcPr>
            <w:tcW w:w="3515" w:type="dxa"/>
            <w:vAlign w:val="center"/>
          </w:tcPr>
          <w:p w14:paraId="1F2FB1AF">
            <w:pPr>
              <w:spacing w:after="0" w:line="240" w:lineRule="auto"/>
            </w:pPr>
            <w:r>
              <w:t>条款来源说明与评审支撑</w:t>
            </w:r>
          </w:p>
        </w:tc>
      </w:tr>
    </w:tbl>
    <w:p w14:paraId="2A7395C1">
      <w:r>
        <w:br w:type="page"/>
      </w:r>
    </w:p>
    <w:p w14:paraId="1CCBD989">
      <w:pPr>
        <w:pStyle w:val="3"/>
      </w:pPr>
      <w:r>
        <w:t>15 各技术层统一写法模板</w:t>
      </w:r>
    </w:p>
    <w:p w14:paraId="679FB4DC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15 各技术层统一写法模板表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36B8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A6FFD3B">
            <w:pPr>
              <w:spacing w:after="0" w:line="240" w:lineRule="auto"/>
            </w:pPr>
            <w:r>
              <w:t>模块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7DB9F197">
            <w:pPr>
              <w:spacing w:after="0" w:line="240" w:lineRule="auto"/>
            </w:pPr>
            <w:r>
              <w:t>建议写法</w:t>
            </w:r>
          </w:p>
        </w:tc>
      </w:tr>
      <w:tr w14:paraId="2434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3DD0DCB3">
            <w:pPr>
              <w:spacing w:after="0" w:line="240" w:lineRule="auto"/>
            </w:pPr>
            <w:r>
              <w:t>共性要求</w:t>
            </w:r>
          </w:p>
        </w:tc>
        <w:tc>
          <w:tcPr>
            <w:tcW w:w="6520" w:type="dxa"/>
            <w:vAlign w:val="center"/>
          </w:tcPr>
          <w:p w14:paraId="57876CF5">
            <w:pPr>
              <w:spacing w:after="0" w:line="240" w:lineRule="auto"/>
            </w:pPr>
            <w:r>
              <w:t>写双方都认可的设计骨架、底线要求和稳定表述。</w:t>
            </w:r>
          </w:p>
        </w:tc>
      </w:tr>
      <w:tr w14:paraId="32266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A3CF0E7">
            <w:pPr>
              <w:spacing w:after="0" w:line="240" w:lineRule="auto"/>
            </w:pPr>
            <w:r>
              <w:t>A轨实施要求</w:t>
            </w:r>
          </w:p>
        </w:tc>
        <w:tc>
          <w:tcPr>
            <w:tcW w:w="6520" w:type="dxa"/>
            <w:vAlign w:val="center"/>
          </w:tcPr>
          <w:p w14:paraId="3A0E64B5">
            <w:pPr>
              <w:spacing w:after="0" w:line="240" w:lineRule="auto"/>
            </w:pPr>
            <w:r>
              <w:t>写工程目标、平台限制、实车工况、仿真与实现细节。</w:t>
            </w:r>
          </w:p>
        </w:tc>
      </w:tr>
      <w:tr w14:paraId="370F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EE46744">
            <w:pPr>
              <w:spacing w:after="0" w:line="240" w:lineRule="auto"/>
            </w:pPr>
            <w:r>
              <w:t>B轨增强要求</w:t>
            </w:r>
          </w:p>
        </w:tc>
        <w:tc>
          <w:tcPr>
            <w:tcW w:w="6520" w:type="dxa"/>
            <w:vAlign w:val="center"/>
          </w:tcPr>
          <w:p w14:paraId="27D57F1C">
            <w:pPr>
              <w:spacing w:after="0" w:line="240" w:lineRule="auto"/>
            </w:pPr>
            <w:r>
              <w:t>写标准限值、性能判据、专利映射、条款边界。</w:t>
            </w:r>
          </w:p>
        </w:tc>
      </w:tr>
      <w:tr w14:paraId="1642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B3861F0">
            <w:pPr>
              <w:spacing w:after="0" w:line="240" w:lineRule="auto"/>
            </w:pPr>
            <w:r>
              <w:t>合并落地写法</w:t>
            </w:r>
          </w:p>
        </w:tc>
        <w:tc>
          <w:tcPr>
            <w:tcW w:w="6520" w:type="dxa"/>
            <w:vAlign w:val="center"/>
          </w:tcPr>
          <w:p w14:paraId="1CED020D">
            <w:pPr>
              <w:spacing w:after="0" w:line="240" w:lineRule="auto"/>
            </w:pPr>
            <w:r>
              <w:t>说明最终在正文、附录、项目资料中的承载方式。</w:t>
            </w:r>
          </w:p>
        </w:tc>
      </w:tr>
    </w:tbl>
    <w:p w14:paraId="70856A66"/>
    <w:p w14:paraId="1B777154">
      <w:pPr>
        <w:pStyle w:val="3"/>
      </w:pPr>
      <w:r>
        <w:t>16 推荐保留的附录清单</w:t>
      </w:r>
    </w:p>
    <w:p w14:paraId="61469D6E">
      <w:pPr>
        <w:spacing w:line="324" w:lineRule="auto"/>
      </w:pPr>
      <w:r>
        <w:rPr>
          <w:rFonts w:ascii="微软雅黑" w:hAnsi="微软雅黑" w:eastAsia="微软雅黑"/>
          <w:b/>
          <w:color w:val="366092"/>
          <w:sz w:val="21"/>
        </w:rPr>
        <w:t>16 推荐保留的附录清单表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3B2D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3B689D48">
            <w:pPr>
              <w:spacing w:after="0" w:line="240" w:lineRule="auto"/>
            </w:pPr>
            <w:r>
              <w:t>模块</w:t>
            </w:r>
          </w:p>
        </w:tc>
        <w:tc>
          <w:tcPr>
            <w:tcW w:w="6520" w:type="dxa"/>
            <w:shd w:val="clear" w:color="auto" w:fill="D9EAF7"/>
            <w:vAlign w:val="center"/>
          </w:tcPr>
          <w:p w14:paraId="57B06EB8">
            <w:pPr>
              <w:spacing w:after="0" w:line="240" w:lineRule="auto"/>
            </w:pPr>
            <w:r>
              <w:t>建议写法</w:t>
            </w:r>
          </w:p>
        </w:tc>
      </w:tr>
      <w:tr w14:paraId="1657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E874F71">
            <w:pPr>
              <w:spacing w:after="0" w:line="240" w:lineRule="auto"/>
            </w:pPr>
            <w:r>
              <w:t>附录A</w:t>
            </w:r>
          </w:p>
        </w:tc>
        <w:tc>
          <w:tcPr>
            <w:tcW w:w="6520" w:type="dxa"/>
            <w:vAlign w:val="center"/>
          </w:tcPr>
          <w:p w14:paraId="319179A6">
            <w:pPr>
              <w:spacing w:after="0" w:line="240" w:lineRule="auto"/>
            </w:pPr>
            <w:r>
              <w:t>EMC正向设计检查清单（建议规范性）</w:t>
            </w:r>
          </w:p>
        </w:tc>
      </w:tr>
      <w:tr w14:paraId="481A4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5F892FF">
            <w:pPr>
              <w:spacing w:after="0" w:line="240" w:lineRule="auto"/>
            </w:pPr>
            <w:r>
              <w:t>附录B</w:t>
            </w:r>
          </w:p>
        </w:tc>
        <w:tc>
          <w:tcPr>
            <w:tcW w:w="6520" w:type="dxa"/>
            <w:vAlign w:val="center"/>
          </w:tcPr>
          <w:p w14:paraId="3CAC3E47">
            <w:pPr>
              <w:spacing w:after="0" w:line="240" w:lineRule="auto"/>
            </w:pPr>
            <w:r>
              <w:t>主要标准与试验项目对照表（建议资料性）</w:t>
            </w:r>
          </w:p>
        </w:tc>
      </w:tr>
      <w:tr w14:paraId="04925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9AC412B">
            <w:pPr>
              <w:spacing w:after="0" w:line="240" w:lineRule="auto"/>
            </w:pPr>
            <w:r>
              <w:t>附录C</w:t>
            </w:r>
          </w:p>
        </w:tc>
        <w:tc>
          <w:tcPr>
            <w:tcW w:w="6520" w:type="dxa"/>
            <w:vAlign w:val="center"/>
          </w:tcPr>
          <w:p w14:paraId="6EAED81D">
            <w:pPr>
              <w:spacing w:after="0" w:line="240" w:lineRule="auto"/>
            </w:pPr>
            <w:r>
              <w:t>专利技术与标准条款对照表（建议资料性）</w:t>
            </w:r>
          </w:p>
        </w:tc>
      </w:tr>
      <w:tr w14:paraId="69E2C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48D830D5">
            <w:pPr>
              <w:spacing w:after="0" w:line="240" w:lineRule="auto"/>
            </w:pPr>
            <w:r>
              <w:t>附录D</w:t>
            </w:r>
          </w:p>
        </w:tc>
        <w:tc>
          <w:tcPr>
            <w:tcW w:w="6520" w:type="dxa"/>
            <w:vAlign w:val="center"/>
          </w:tcPr>
          <w:p w14:paraId="5ED7FF67">
            <w:pPr>
              <w:spacing w:after="0" w:line="240" w:lineRule="auto"/>
            </w:pPr>
            <w:r>
              <w:t>工程性能指标与实车工况要求（建议资料性）</w:t>
            </w:r>
          </w:p>
        </w:tc>
      </w:tr>
      <w:tr w14:paraId="6333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B385991">
            <w:pPr>
              <w:spacing w:after="0" w:line="240" w:lineRule="auto"/>
            </w:pPr>
            <w:r>
              <w:t>附录E</w:t>
            </w:r>
          </w:p>
        </w:tc>
        <w:tc>
          <w:tcPr>
            <w:tcW w:w="6520" w:type="dxa"/>
            <w:vAlign w:val="center"/>
          </w:tcPr>
          <w:p w14:paraId="0F43C7A6">
            <w:pPr>
              <w:spacing w:after="0" w:line="240" w:lineRule="auto"/>
            </w:pPr>
            <w:r>
              <w:t>仿真—测试—整改闭环记录模板（建议资料性）</w:t>
            </w:r>
          </w:p>
        </w:tc>
      </w:tr>
    </w:tbl>
    <w:p w14:paraId="52509732"/>
    <w:p w14:paraId="0D1F8992">
      <w:pPr>
        <w:pStyle w:val="3"/>
      </w:pPr>
      <w:r>
        <w:t>17 整编结论</w:t>
      </w:r>
    </w:p>
    <w:p w14:paraId="6C9AD384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与现有“双轨合并版”相比，本稿已从“提纲式整合”提升为“接近完整版的整编框架”，章节深度、条款承载方式和附录体例更接近正式文件。</w:t>
      </w:r>
    </w:p>
    <w:p w14:paraId="212412C7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与单一完整版规范相比，本稿没有取消双轨机制，而是把双轨从“另起两份文档”改造成“嵌入统一母版的并列机制”，便于后续按场景裁剪。</w:t>
      </w:r>
    </w:p>
    <w:p w14:paraId="5D90EFBF">
      <w:pPr>
        <w:spacing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后续若继续定版，可在本稿基础上进一步补充条文编号、指标定值、附录原表、试验流程图和专利映射明细，直接推进至正式发布稿。</w:t>
      </w:r>
    </w:p>
    <w:sectPr>
      <w:footerReference r:id="rId5" w:type="default"/>
      <w:pgSz w:w="12240" w:h="15840"/>
      <w:pgMar w:top="1247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7F91D">
    <w:pPr>
      <w:pStyle w:val="24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0B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66092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4F81BD" w:themeColor="accent1"/>
      <w:spacing w:val="15"/>
      <w:sz w:val="22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3691</Words>
  <Characters>3880</Characters>
  <Lines>0</Lines>
  <Paragraphs>0</Paragraphs>
  <TotalTime>0</TotalTime>
  <ScaleCrop>false</ScaleCrop>
  <LinksUpToDate>false</LinksUpToDate>
  <CharactersWithSpaces>3938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52834</cp:lastModifiedBy>
  <dcterms:modified xsi:type="dcterms:W3CDTF">2026-03-22T15:19:12Z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33C3A0B2D3F3408A9C1CB7FC2D3C2CB4_13</vt:lpwstr>
  </property>
</Properties>
</file>