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3E91D">
      <w:pPr>
        <w:spacing w:line="360" w:lineRule="auto"/>
        <w:ind w:firstLine="0" w:firstLineChars="0"/>
        <w:jc w:val="center"/>
        <w:rPr>
          <w:rFonts w:hint="eastAsia" w:ascii="Times New Roman" w:hAnsi="Times New Roman" w:eastAsia="宋体" w:cs="Times New Roman"/>
          <w:b/>
          <w:sz w:val="40"/>
          <w:szCs w:val="21"/>
          <w:lang w:val="en-US" w:eastAsia="zh-CN"/>
        </w:rPr>
      </w:pPr>
      <w:bookmarkStart w:id="0" w:name="_GoBack"/>
      <w:bookmarkEnd w:id="0"/>
      <w:r>
        <w:rPr>
          <w:rFonts w:hint="eastAsia" w:ascii="Times New Roman" w:hAnsi="Times New Roman" w:eastAsia="宋体" w:cs="Times New Roman"/>
          <w:b/>
          <w:sz w:val="40"/>
          <w:szCs w:val="21"/>
          <w:lang w:val="en-US" w:eastAsia="zh-CN"/>
        </w:rPr>
        <w:t>车载低轨卫星通信系统EMC正向设计研究方案</w:t>
      </w:r>
    </w:p>
    <w:p w14:paraId="3C8E133B">
      <w:pPr>
        <w:pStyle w:val="2"/>
        <w:bidi w:val="0"/>
        <w:jc w:val="center"/>
        <w:rPr>
          <w:rFonts w:hint="default"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北京交通大学 电磁安全与电磁防护研究所 周正阳</w:t>
      </w:r>
    </w:p>
    <w:p w14:paraId="2EF40CEB">
      <w:pPr>
        <w:pStyle w:val="12"/>
        <w:spacing w:line="360" w:lineRule="auto"/>
        <w:outlineLvl w:val="1"/>
        <w:rPr>
          <w:rFonts w:hint="eastAsia" w:ascii="Times New Roman" w:hAnsi="Times New Roman" w:eastAsia="宋体"/>
          <w:lang w:val="en-US" w:eastAsia="zh-CN"/>
        </w:rPr>
      </w:pPr>
      <w:r>
        <w:rPr>
          <w:rFonts w:hint="eastAsia" w:ascii="Times New Roman" w:hAnsi="Times New Roman" w:eastAsia="宋体"/>
          <w:lang w:val="en-US" w:eastAsia="zh-CN"/>
        </w:rPr>
        <w:t>1 引言</w:t>
      </w:r>
    </w:p>
    <w:p w14:paraId="1C83E5A7">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随着汽车电动化、智能化、网联化快速发展，车载电磁环境日趋复杂，车载低轨卫星通信系统的应用面临着：</w:t>
      </w:r>
      <w:r>
        <w:rPr>
          <w:rFonts w:hint="default" w:ascii="Times New Roman" w:hAnsi="Times New Roman" w:eastAsia="宋体" w:cs="Times New Roman"/>
          <w:sz w:val="24"/>
          <w:lang w:val="en-US" w:eastAsia="zh-CN"/>
        </w:rPr>
        <w:t>系统内多射频模块共存，以及车辆本身存在的电机、控制器等强干扰源</w:t>
      </w:r>
      <w:r>
        <w:rPr>
          <w:rFonts w:hint="eastAsia" w:ascii="Times New Roman" w:hAnsi="Times New Roman" w:eastAsia="宋体" w:cs="Times New Roman"/>
          <w:sz w:val="24"/>
          <w:lang w:val="en-US" w:eastAsia="zh-CN"/>
        </w:rPr>
        <w:t>的问题</w:t>
      </w:r>
      <w:r>
        <w:rPr>
          <w:rFonts w:hint="default" w:ascii="Times New Roman" w:hAnsi="Times New Roman" w:eastAsia="宋体" w:cs="Times New Roman"/>
          <w:sz w:val="24"/>
          <w:lang w:val="en-US" w:eastAsia="zh-CN"/>
        </w:rPr>
        <w:t>，使得电磁兼容性问题成为影响车载卫星通信系统稳定性和可靠性的关键因素。</w:t>
      </w:r>
      <w:r>
        <w:rPr>
          <w:rFonts w:hint="eastAsia" w:ascii="Times New Roman" w:hAnsi="Times New Roman" w:eastAsia="宋体" w:cs="Times New Roman"/>
          <w:sz w:val="24"/>
          <w:lang w:val="en-US" w:eastAsia="zh-CN"/>
        </w:rPr>
        <w:t>由于</w:t>
      </w:r>
      <w:r>
        <w:rPr>
          <w:rFonts w:hint="default" w:ascii="Times New Roman" w:hAnsi="Times New Roman" w:eastAsia="宋体" w:cs="Times New Roman"/>
          <w:sz w:val="24"/>
          <w:lang w:val="en-US" w:eastAsia="zh-CN"/>
        </w:rPr>
        <w:t>事后</w:t>
      </w:r>
      <w:r>
        <w:rPr>
          <w:rFonts w:hint="eastAsia" w:ascii="Times New Roman" w:hAnsi="Times New Roman" w:eastAsia="宋体" w:cs="Times New Roman"/>
          <w:sz w:val="24"/>
          <w:lang w:val="en-US" w:eastAsia="zh-CN"/>
        </w:rPr>
        <w:t>进行电磁兼容</w:t>
      </w:r>
      <w:r>
        <w:rPr>
          <w:rFonts w:hint="default" w:ascii="Times New Roman" w:hAnsi="Times New Roman" w:eastAsia="宋体" w:cs="Times New Roman"/>
          <w:sz w:val="24"/>
          <w:lang w:val="en-US" w:eastAsia="zh-CN"/>
        </w:rPr>
        <w:t>整改的传统开发模式成本高昂、周期漫长</w:t>
      </w:r>
      <w:r>
        <w:rPr>
          <w:rFonts w:hint="eastAsia" w:ascii="Times New Roman" w:hAnsi="Times New Roman" w:eastAsia="宋体" w:cs="Times New Roman"/>
          <w:sz w:val="24"/>
          <w:lang w:val="en-US" w:eastAsia="zh-CN"/>
        </w:rPr>
        <w:t>，要</w:t>
      </w:r>
      <w:r>
        <w:rPr>
          <w:rFonts w:hint="default" w:ascii="Times New Roman" w:hAnsi="Times New Roman" w:eastAsia="宋体" w:cs="Times New Roman"/>
          <w:sz w:val="24"/>
          <w:lang w:val="en-US" w:eastAsia="zh-CN"/>
        </w:rPr>
        <w:t>确保卫星通信系统与车辆其他电子系统稳定、可靠地共存，必须在设计初期系统性地考虑电磁兼容性</w:t>
      </w:r>
      <w:r>
        <w:rPr>
          <w:rFonts w:hint="eastAsia" w:ascii="Times New Roman" w:hAnsi="Times New Roman" w:eastAsia="宋体" w:cs="Times New Roman"/>
          <w:sz w:val="24"/>
          <w:lang w:val="en-US" w:eastAsia="zh-CN"/>
        </w:rPr>
        <w:t>，进行相关系统的EMC正向设计</w:t>
      </w:r>
      <w:r>
        <w:rPr>
          <w:rFonts w:hint="default" w:ascii="Times New Roman" w:hAnsi="Times New Roman" w:eastAsia="宋体" w:cs="Times New Roman"/>
          <w:sz w:val="24"/>
          <w:lang w:val="en-US" w:eastAsia="zh-CN"/>
        </w:rPr>
        <w:t>。</w:t>
      </w:r>
    </w:p>
    <w:p w14:paraId="6754F438">
      <w:pPr>
        <w:spacing w:line="36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本方案基于</w:t>
      </w:r>
      <w:r>
        <w:rPr>
          <w:rFonts w:hint="eastAsia" w:ascii="Times New Roman" w:hAnsi="Times New Roman" w:eastAsia="宋体" w:cs="Times New Roman"/>
          <w:sz w:val="24"/>
          <w:lang w:val="en-US" w:eastAsia="zh-CN"/>
        </w:rPr>
        <w:t>车载低轨卫星系统特点，并结合</w:t>
      </w:r>
      <w:r>
        <w:rPr>
          <w:rFonts w:hint="default" w:ascii="Times New Roman" w:hAnsi="Times New Roman" w:eastAsia="宋体" w:cs="Times New Roman"/>
          <w:sz w:val="24"/>
          <w:lang w:val="en-US" w:eastAsia="zh-CN"/>
        </w:rPr>
        <w:t>对主流车企相关专利技术的分析</w:t>
      </w:r>
      <w:r>
        <w:rPr>
          <w:rFonts w:hint="eastAsia" w:ascii="Times New Roman" w:hAnsi="Times New Roman" w:eastAsia="宋体" w:cs="Times New Roman"/>
          <w:sz w:val="24"/>
          <w:lang w:val="en-US" w:eastAsia="zh-CN"/>
        </w:rPr>
        <w:t>和通信</w:t>
      </w:r>
      <w:r>
        <w:rPr>
          <w:rFonts w:hint="default" w:ascii="Times New Roman" w:hAnsi="Times New Roman" w:eastAsia="宋体" w:cs="Times New Roman"/>
          <w:sz w:val="24"/>
          <w:lang w:val="en-US" w:eastAsia="zh-CN"/>
        </w:rPr>
        <w:t xml:space="preserve">行业标准《YD/T </w:t>
      </w:r>
      <w:r>
        <w:rPr>
          <w:rFonts w:hint="eastAsia" w:ascii="Times New Roman" w:hAnsi="Times New Roman" w:eastAsia="宋体" w:cs="Times New Roman"/>
          <w:sz w:val="24"/>
          <w:lang w:val="en-US" w:eastAsia="zh-CN"/>
        </w:rPr>
        <w:t>4517</w:t>
      </w:r>
      <w:r>
        <w:rPr>
          <w:rFonts w:hint="default" w:ascii="Times New Roman" w:hAnsi="Times New Roman" w:eastAsia="宋体" w:cs="Times New Roman"/>
          <w:sz w:val="24"/>
          <w:lang w:val="en-US" w:eastAsia="zh-CN"/>
        </w:rPr>
        <w:t>.4—</w:t>
      </w:r>
      <w:r>
        <w:rPr>
          <w:rFonts w:hint="eastAsia" w:ascii="Times New Roman" w:hAnsi="Times New Roman" w:eastAsia="宋体" w:cs="Times New Roman"/>
          <w:sz w:val="24"/>
          <w:lang w:val="en-US" w:eastAsia="zh-CN"/>
        </w:rPr>
        <w:t>2024</w:t>
      </w:r>
      <w:r>
        <w:rPr>
          <w:rFonts w:hint="default" w:ascii="Times New Roman" w:hAnsi="Times New Roman" w:eastAsia="宋体" w:cs="Times New Roman"/>
          <w:sz w:val="24"/>
          <w:lang w:val="en-US" w:eastAsia="zh-CN"/>
        </w:rPr>
        <w:t xml:space="preserve"> 车联网通信设备电磁兼容性要求和测量方法 第4部分：车载卫星通信设备》的要求，提出一套车载低轨卫星通信系统EMC正向设计技术</w:t>
      </w:r>
      <w:r>
        <w:rPr>
          <w:rFonts w:hint="eastAsia" w:ascii="Times New Roman" w:hAnsi="Times New Roman" w:eastAsia="宋体" w:cs="Times New Roman"/>
          <w:sz w:val="24"/>
          <w:lang w:val="en-US" w:eastAsia="zh-CN"/>
        </w:rPr>
        <w:t>研究方案</w:t>
      </w:r>
      <w:r>
        <w:rPr>
          <w:rFonts w:hint="default" w:ascii="Times New Roman" w:hAnsi="Times New Roman" w:eastAsia="宋体" w:cs="Times New Roman"/>
          <w:sz w:val="24"/>
          <w:lang w:val="en-US" w:eastAsia="zh-CN"/>
        </w:rPr>
        <w:t>，旨在</w:t>
      </w:r>
      <w:r>
        <w:rPr>
          <w:rFonts w:hint="eastAsia" w:ascii="Times New Roman" w:hAnsi="Times New Roman" w:eastAsia="宋体" w:cs="Times New Roman"/>
          <w:sz w:val="24"/>
          <w:lang w:val="en-US" w:eastAsia="zh-CN"/>
        </w:rPr>
        <w:t>为车载低轨卫星通信系统的EMC正向设计研究提供切实、可靠的方案和研究框架，以实现从</w:t>
      </w:r>
      <w:r>
        <w:rPr>
          <w:rFonts w:hint="default" w:ascii="Times New Roman" w:hAnsi="Times New Roman" w:eastAsia="宋体" w:cs="Times New Roman"/>
          <w:sz w:val="24"/>
          <w:lang w:val="en-US" w:eastAsia="zh-CN"/>
        </w:rPr>
        <w:t>源头上规避和解决电磁干扰问题。</w:t>
      </w:r>
    </w:p>
    <w:p w14:paraId="51AFF752">
      <w:pPr>
        <w:pStyle w:val="12"/>
        <w:spacing w:line="360" w:lineRule="auto"/>
        <w:outlineLvl w:val="1"/>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EMC正向设计原则与目标</w:t>
      </w:r>
    </w:p>
    <w:p w14:paraId="7AEC4518">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对于车载低轨卫星通信系统EMC正向设计，研究原则应遵循在设计初期就对系统所可能面对的电磁干扰进行预测、规避和抑制。应整体考量系统之间的影响，软硬协同，确保</w:t>
      </w:r>
      <w:r>
        <w:rPr>
          <w:rFonts w:hint="default" w:ascii="Times New Roman" w:hAnsi="Times New Roman" w:eastAsia="宋体" w:cs="Times New Roman"/>
          <w:sz w:val="24"/>
          <w:lang w:val="en-US" w:eastAsia="zh-CN"/>
        </w:rPr>
        <w:t xml:space="preserve">车载低轨卫星通信系统在复杂的车载电磁环境中，既能满足《YD/T </w:t>
      </w:r>
      <w:r>
        <w:rPr>
          <w:rFonts w:hint="eastAsia" w:ascii="Times New Roman" w:hAnsi="Times New Roman" w:eastAsia="宋体" w:cs="Times New Roman"/>
          <w:sz w:val="24"/>
          <w:lang w:val="en-US" w:eastAsia="zh-CN"/>
        </w:rPr>
        <w:t>4517</w:t>
      </w:r>
      <w:r>
        <w:rPr>
          <w:rFonts w:hint="default" w:ascii="Times New Roman" w:hAnsi="Times New Roman" w:eastAsia="宋体" w:cs="Times New Roman"/>
          <w:sz w:val="24"/>
          <w:lang w:val="en-US" w:eastAsia="zh-CN"/>
        </w:rPr>
        <w:t>.4—</w:t>
      </w:r>
      <w:r>
        <w:rPr>
          <w:rFonts w:hint="eastAsia" w:ascii="Times New Roman" w:hAnsi="Times New Roman" w:eastAsia="宋体" w:cs="Times New Roman"/>
          <w:sz w:val="24"/>
          <w:lang w:val="en-US" w:eastAsia="zh-CN"/>
        </w:rPr>
        <w:t>2024</w:t>
      </w:r>
      <w:r>
        <w:rPr>
          <w:rFonts w:hint="default" w:ascii="Times New Roman" w:hAnsi="Times New Roman" w:eastAsia="宋体" w:cs="Times New Roman"/>
          <w:sz w:val="24"/>
          <w:lang w:val="en-US" w:eastAsia="zh-CN"/>
        </w:rPr>
        <w:t>》标准</w:t>
      </w:r>
      <w:r>
        <w:rPr>
          <w:rFonts w:hint="eastAsia" w:ascii="Times New Roman" w:hAnsi="Times New Roman" w:eastAsia="宋体" w:cs="Times New Roman"/>
          <w:sz w:val="24"/>
          <w:lang w:val="en-US" w:eastAsia="zh-CN"/>
        </w:rPr>
        <w:t>（以下简称《标准》）</w:t>
      </w:r>
      <w:r>
        <w:rPr>
          <w:rFonts w:hint="default" w:ascii="Times New Roman" w:hAnsi="Times New Roman" w:eastAsia="宋体" w:cs="Times New Roman"/>
          <w:sz w:val="24"/>
          <w:lang w:val="en-US" w:eastAsia="zh-CN"/>
        </w:rPr>
        <w:t>中所有骚扰发射限值和抗扰度等级要求（不干扰</w:t>
      </w:r>
      <w:r>
        <w:rPr>
          <w:rFonts w:hint="eastAsia" w:ascii="Times New Roman" w:hAnsi="Times New Roman" w:eastAsia="宋体" w:cs="Times New Roman"/>
          <w:sz w:val="24"/>
          <w:lang w:val="en-US" w:eastAsia="zh-CN"/>
        </w:rPr>
        <w:t>外界</w:t>
      </w:r>
      <w:r>
        <w:rPr>
          <w:rFonts w:hint="default" w:ascii="Times New Roman" w:hAnsi="Times New Roman" w:eastAsia="宋体" w:cs="Times New Roman"/>
          <w:sz w:val="24"/>
          <w:lang w:val="en-US" w:eastAsia="zh-CN"/>
        </w:rPr>
        <w:t>），又能在此环境下保持自身的通信性能（吞吐量、语音质量、连接稳定性）不劣化（不被</w:t>
      </w:r>
      <w:r>
        <w:rPr>
          <w:rFonts w:hint="eastAsia" w:ascii="Times New Roman" w:hAnsi="Times New Roman" w:eastAsia="宋体" w:cs="Times New Roman"/>
          <w:sz w:val="24"/>
          <w:lang w:val="en-US" w:eastAsia="zh-CN"/>
        </w:rPr>
        <w:t>外界</w:t>
      </w:r>
      <w:r>
        <w:rPr>
          <w:rFonts w:hint="default" w:ascii="Times New Roman" w:hAnsi="Times New Roman" w:eastAsia="宋体" w:cs="Times New Roman"/>
          <w:sz w:val="24"/>
          <w:lang w:val="en-US" w:eastAsia="zh-CN"/>
        </w:rPr>
        <w:t>干扰），实现电磁兼容。</w:t>
      </w:r>
    </w:p>
    <w:p w14:paraId="5377BB68">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车载低轨卫星通信系统并非一个独立的设备，而是一个</w:t>
      </w:r>
      <w:r>
        <w:rPr>
          <w:rFonts w:hint="default" w:ascii="Times New Roman" w:hAnsi="Times New Roman" w:eastAsia="宋体" w:cs="Times New Roman"/>
          <w:sz w:val="24"/>
          <w:lang w:val="en-US" w:eastAsia="zh-CN"/>
        </w:rPr>
        <w:t>嵌入在极端复杂电磁环境中的、同时包含高功率发射和高灵敏度接收的异构系统。</w:t>
      </w:r>
      <w:r>
        <w:rPr>
          <w:rFonts w:hint="eastAsia" w:ascii="Times New Roman" w:hAnsi="Times New Roman" w:eastAsia="宋体" w:cs="Times New Roman"/>
          <w:sz w:val="24"/>
          <w:lang w:val="en-US" w:eastAsia="zh-CN"/>
        </w:rPr>
        <w:t>因此可以从多个方面进行EMC正向设计研究，需要设计</w:t>
      </w:r>
      <w:r>
        <w:rPr>
          <w:rFonts w:hint="default" w:ascii="Times New Roman" w:hAnsi="Times New Roman" w:eastAsia="宋体" w:cs="Times New Roman"/>
          <w:sz w:val="24"/>
          <w:lang w:val="en-US" w:eastAsia="zh-CN"/>
        </w:rPr>
        <w:t>覆盖系统架构、天线射频、硬件平台、线束布局及测试验证的完整EMC正向设计技术框架</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从系统架构到硬件实现，分层级明确EMC设计策略，并将</w:t>
      </w:r>
      <w:r>
        <w:rPr>
          <w:rFonts w:hint="eastAsia" w:ascii="Times New Roman" w:hAnsi="Times New Roman" w:eastAsia="宋体" w:cs="Times New Roman"/>
          <w:sz w:val="24"/>
          <w:lang w:val="en-US" w:eastAsia="zh-CN"/>
        </w:rPr>
        <w:t>主流</w:t>
      </w:r>
      <w:r>
        <w:rPr>
          <w:rFonts w:hint="default" w:ascii="Times New Roman" w:hAnsi="Times New Roman" w:eastAsia="宋体" w:cs="Times New Roman"/>
          <w:sz w:val="24"/>
          <w:lang w:val="en-US" w:eastAsia="zh-CN"/>
        </w:rPr>
        <w:t>专利设计、经典EMC技术与标准要求进行深度融合与对应。</w:t>
      </w:r>
    </w:p>
    <w:p w14:paraId="7362F2B2">
      <w:pPr>
        <w:pStyle w:val="12"/>
        <w:spacing w:line="360" w:lineRule="auto"/>
        <w:outlineLvl w:val="1"/>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 车载低轨卫星通信系统特点与EMC正向设计技术研究方案分析</w:t>
      </w:r>
    </w:p>
    <w:p w14:paraId="182385D9">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该部分针对车载低轨卫星通信系统，本研究将从四个方面：系统架构、天线与射频前端、硬件平台、线束布局，分析系统特点及可能面对的EMC问题，并对这些EMC问题进行了分析研究和针对《标准》中的测试验证方法与限值规定的对应，为之后的EMC正向设计方案提供思路与初期框架。</w:t>
      </w:r>
    </w:p>
    <w:p w14:paraId="0986C16F">
      <w:pPr>
        <w:pStyle w:val="12"/>
        <w:spacing w:line="360" w:lineRule="auto"/>
        <w:rPr>
          <w:rFonts w:hint="default" w:ascii="Times New Roman" w:hAnsi="Times New Roman" w:eastAsia="宋体"/>
          <w:sz w:val="30"/>
          <w:szCs w:val="30"/>
          <w:lang w:val="en-US" w:eastAsia="zh-CN"/>
        </w:rPr>
      </w:pPr>
      <w:r>
        <w:rPr>
          <w:rFonts w:hint="eastAsia" w:ascii="Times New Roman" w:hAnsi="Times New Roman" w:eastAsia="宋体"/>
          <w:sz w:val="30"/>
          <w:szCs w:val="30"/>
          <w:lang w:val="en-US" w:eastAsia="zh-CN"/>
        </w:rPr>
        <w:t>3.1系统架构特点及相关EMC问题与正向设计方案研究</w:t>
      </w:r>
    </w:p>
    <w:p w14:paraId="2126D11B">
      <w:pPr>
        <w:pStyle w:val="12"/>
        <w:spacing w:line="360" w:lineRule="auto"/>
        <w:outlineLvl w:val="3"/>
        <w:rPr>
          <w:rFonts w:hint="eastAsia" w:ascii="Times New Roman" w:hAnsi="Times New Roman" w:eastAsia="宋体"/>
          <w:sz w:val="28"/>
          <w:lang w:val="en-US" w:eastAsia="zh-CN"/>
        </w:rPr>
      </w:pPr>
      <w:r>
        <w:rPr>
          <w:rFonts w:hint="eastAsia" w:ascii="Times New Roman" w:hAnsi="Times New Roman" w:eastAsia="宋体"/>
          <w:sz w:val="28"/>
          <w:lang w:val="en-US" w:eastAsia="zh-CN"/>
        </w:rPr>
        <w:t>3.1.1系统架构特点</w:t>
      </w:r>
    </w:p>
    <w:p w14:paraId="5054FB20">
      <w:p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车载低轨卫星通信系统内部或周围同时集成了</w:t>
      </w:r>
      <w:r>
        <w:rPr>
          <w:rFonts w:hint="default" w:ascii="Times New Roman" w:hAnsi="Times New Roman" w:eastAsia="宋体" w:cs="Times New Roman"/>
          <w:sz w:val="24"/>
          <w:lang w:val="en-US" w:eastAsia="zh-CN"/>
        </w:rPr>
        <w:t>多个共存的射频前端，如</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卫星通信发射机/接收机、GNSS接收机、蜂窝通信模块（4G/5G）等。它们在一个</w:t>
      </w:r>
      <w:r>
        <w:rPr>
          <w:rFonts w:hint="eastAsia" w:ascii="Times New Roman" w:hAnsi="Times New Roman" w:eastAsia="宋体" w:cs="Times New Roman"/>
          <w:sz w:val="24"/>
          <w:lang w:val="en-US" w:eastAsia="zh-CN"/>
        </w:rPr>
        <w:t>相对</w:t>
      </w:r>
      <w:r>
        <w:rPr>
          <w:rFonts w:hint="default" w:ascii="Times New Roman" w:hAnsi="Times New Roman" w:eastAsia="宋体" w:cs="Times New Roman"/>
          <w:sz w:val="24"/>
          <w:lang w:val="en-US" w:eastAsia="zh-CN"/>
        </w:rPr>
        <w:t>狭小</w:t>
      </w:r>
      <w:r>
        <w:rPr>
          <w:rFonts w:hint="eastAsia" w:ascii="Times New Roman" w:hAnsi="Times New Roman" w:eastAsia="宋体" w:cs="Times New Roman"/>
          <w:sz w:val="24"/>
          <w:lang w:val="en-US" w:eastAsia="zh-CN"/>
        </w:rPr>
        <w:t>的</w:t>
      </w:r>
      <w:r>
        <w:rPr>
          <w:rFonts w:hint="default" w:ascii="Times New Roman" w:hAnsi="Times New Roman" w:eastAsia="宋体" w:cs="Times New Roman"/>
          <w:sz w:val="24"/>
          <w:lang w:val="en-US" w:eastAsia="zh-CN"/>
        </w:rPr>
        <w:t>空间内同时工作。</w:t>
      </w:r>
    </w:p>
    <w:p w14:paraId="533FF07B">
      <w:pPr>
        <w:pStyle w:val="12"/>
        <w:spacing w:line="360" w:lineRule="auto"/>
        <w:outlineLvl w:val="3"/>
        <w:rPr>
          <w:rFonts w:hint="default"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3.1.2针对系统架构特点的EMC正向设计研究方案</w:t>
      </w:r>
    </w:p>
    <w:p w14:paraId="7F18CC80">
      <w:pPr>
        <w:numPr>
          <w:ilvl w:val="0"/>
          <w:numId w:val="1"/>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自干扰问题：车载低轨卫星通信系统内部的不同模块同时工作在相邻频段时，容易产生自干扰问题，如：</w:t>
      </w:r>
      <w:r>
        <w:rPr>
          <w:rFonts w:hint="default" w:ascii="Times New Roman" w:hAnsi="Times New Roman" w:eastAsia="宋体" w:cs="Times New Roman"/>
          <w:sz w:val="24"/>
          <w:lang w:val="en-US" w:eastAsia="zh-CN"/>
        </w:rPr>
        <w:t>卫星通信发射</w:t>
      </w:r>
      <w:r>
        <w:rPr>
          <w:rFonts w:hint="eastAsia" w:ascii="Times New Roman" w:hAnsi="Times New Roman" w:eastAsia="宋体" w:cs="Times New Roman"/>
          <w:sz w:val="24"/>
          <w:lang w:val="en-US" w:eastAsia="zh-CN"/>
        </w:rPr>
        <w:t>模块一般</w:t>
      </w:r>
      <w:r>
        <w:rPr>
          <w:rFonts w:hint="default" w:ascii="Times New Roman" w:hAnsi="Times New Roman" w:eastAsia="宋体" w:cs="Times New Roman"/>
          <w:sz w:val="24"/>
          <w:lang w:val="en-US" w:eastAsia="zh-CN"/>
        </w:rPr>
        <w:t>会淹没邻近频段的GNSS接收（极微弱信号），导致定位漂移。</w:t>
      </w:r>
      <w:r>
        <w:rPr>
          <w:rFonts w:hint="eastAsia" w:ascii="Times New Roman" w:hAnsi="Times New Roman" w:eastAsia="宋体" w:cs="Times New Roman"/>
          <w:sz w:val="24"/>
          <w:lang w:val="en-US" w:eastAsia="zh-CN"/>
        </w:rPr>
        <w:t>系统内自干扰（如卫星发射干扰GNSS）的直接后果就是通信连接中断或性能降级。</w:t>
      </w:r>
    </w:p>
    <w:p w14:paraId="0303D2CF">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其性能判据部分6.2性能判据A中指出：“试验中和试验后，通信连接应保持，无用户控制功能的丧失或存储数据的丢失，DUT（被测设备）应正常工作，能执行其预先设计的所有功能。对于数据传输业务模式，试验中，数据吞吐量（应用层吞吐量）应不少于参考测试信道最大吞吐量的95%...”</w:t>
      </w:r>
    </w:p>
    <w:p w14:paraId="38F1FAD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《标准》中的</w:t>
      </w:r>
      <w:r>
        <w:rPr>
          <w:rFonts w:hint="default" w:ascii="Times New Roman" w:hAnsi="Times New Roman" w:eastAsia="宋体" w:cs="Times New Roman"/>
          <w:sz w:val="24"/>
          <w:lang w:val="en-US" w:eastAsia="zh-CN"/>
        </w:rPr>
        <w:t>性能判据A是所有抗扰度测试的最高要求，它强制要求系统在干扰下（包括系统内自干扰）必须保持连接和95%以上的吞吐量。</w:t>
      </w:r>
      <w:r>
        <w:rPr>
          <w:rFonts w:hint="eastAsia" w:ascii="Times New Roman" w:hAnsi="Times New Roman" w:eastAsia="宋体" w:cs="Times New Roman"/>
          <w:sz w:val="24"/>
          <w:lang w:val="en-US" w:eastAsia="zh-CN"/>
        </w:rPr>
        <w:t>针对这一问题，事后在电路板级别加滤波器难以根本解决这种系统级、芯片级别的干扰。可以从系统架构层面就采取EMC正向设计策略，如可</w:t>
      </w:r>
      <w:r>
        <w:rPr>
          <w:rFonts w:hint="default" w:ascii="Times New Roman" w:hAnsi="Times New Roman" w:eastAsia="宋体" w:cs="Times New Roman"/>
          <w:sz w:val="24"/>
          <w:lang w:val="en-US" w:eastAsia="zh-CN"/>
        </w:rPr>
        <w:t>在卫星通信系统大功率发射时，通过系统指令暂时抑制或关闭敏感的卫星定位接收功能，规避同频/邻频干扰</w:t>
      </w:r>
      <w:r>
        <w:rPr>
          <w:rFonts w:hint="eastAsia" w:ascii="Times New Roman" w:hAnsi="Times New Roman" w:eastAsia="宋体" w:cs="Times New Roman"/>
          <w:sz w:val="24"/>
          <w:lang w:val="en-US" w:eastAsia="zh-CN"/>
        </w:rPr>
        <w:t>，等时域隔离的设计方案</w:t>
      </w:r>
      <w:r>
        <w:rPr>
          <w:rFonts w:hint="default" w:ascii="Times New Roman" w:hAnsi="Times New Roman" w:eastAsia="宋体" w:cs="Times New Roman"/>
          <w:sz w:val="24"/>
          <w:lang w:val="en-US" w:eastAsia="zh-CN"/>
        </w:rPr>
        <w:t>，</w:t>
      </w:r>
      <w:r>
        <w:rPr>
          <w:rFonts w:hint="eastAsia" w:ascii="Times New Roman" w:hAnsi="Times New Roman" w:eastAsia="宋体" w:cs="Times New Roman"/>
          <w:sz w:val="24"/>
          <w:lang w:val="en-US" w:eastAsia="zh-CN"/>
        </w:rPr>
        <w:t>这样做的</w:t>
      </w:r>
      <w:r>
        <w:rPr>
          <w:rFonts w:hint="default" w:ascii="Times New Roman" w:hAnsi="Times New Roman" w:eastAsia="宋体" w:cs="Times New Roman"/>
          <w:sz w:val="24"/>
          <w:lang w:val="en-US" w:eastAsia="zh-CN"/>
        </w:rPr>
        <w:t>根本目的就是为了在复杂的</w:t>
      </w:r>
      <w:r>
        <w:rPr>
          <w:rFonts w:hint="eastAsia" w:ascii="Times New Roman" w:hAnsi="Times New Roman" w:eastAsia="宋体" w:cs="Times New Roman"/>
          <w:sz w:val="24"/>
          <w:lang w:val="en-US" w:eastAsia="zh-CN"/>
        </w:rPr>
        <w:t>自</w:t>
      </w:r>
      <w:r>
        <w:rPr>
          <w:rFonts w:hint="default" w:ascii="Times New Roman" w:hAnsi="Times New Roman" w:eastAsia="宋体" w:cs="Times New Roman"/>
          <w:sz w:val="24"/>
          <w:lang w:val="en-US" w:eastAsia="zh-CN"/>
        </w:rPr>
        <w:t>干扰环境中依然能满足</w:t>
      </w:r>
      <w:r>
        <w:rPr>
          <w:rFonts w:hint="eastAsia" w:ascii="Times New Roman" w:hAnsi="Times New Roman" w:eastAsia="宋体" w:cs="Times New Roman"/>
          <w:sz w:val="24"/>
          <w:lang w:val="en-US" w:eastAsia="zh-CN"/>
        </w:rPr>
        <w:t>《标准》所规定的</w:t>
      </w:r>
      <w:r>
        <w:rPr>
          <w:rFonts w:hint="default" w:ascii="Times New Roman" w:hAnsi="Times New Roman" w:eastAsia="宋体" w:cs="Times New Roman"/>
          <w:sz w:val="24"/>
          <w:lang w:val="en-US" w:eastAsia="zh-CN"/>
        </w:rPr>
        <w:t>判据。</w:t>
      </w:r>
      <w:r>
        <w:rPr>
          <w:rFonts w:hint="eastAsia" w:ascii="Times New Roman" w:hAnsi="Times New Roman" w:eastAsia="宋体" w:cs="Times New Roman"/>
          <w:sz w:val="24"/>
          <w:lang w:val="en-US" w:eastAsia="zh-CN"/>
        </w:rPr>
        <w:t xml:space="preserve"> </w:t>
      </w:r>
    </w:p>
    <w:p w14:paraId="47785E52">
      <w:pPr>
        <w:numPr>
          <w:ilvl w:val="0"/>
          <w:numId w:val="1"/>
        </w:numPr>
        <w:spacing w:line="360" w:lineRule="auto"/>
        <w:ind w:left="0" w:leftChars="0"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资源冲突问题：由于车载低轨卫星通信系统多个射频模块共享有限的</w:t>
      </w:r>
      <w:r>
        <w:rPr>
          <w:rFonts w:hint="default" w:ascii="Times New Roman" w:hAnsi="Times New Roman" w:eastAsia="宋体" w:cs="Times New Roman"/>
          <w:sz w:val="24"/>
          <w:lang w:val="en-US" w:eastAsia="zh-CN"/>
        </w:rPr>
        <w:t>频谱资源、时间资源和空间资源。在缺乏统一调度的情况下，各模块自主工作会产生同时发射的叠加效应，不仅造成系统内干扰，还会污染更宽的频谱。时域上的随机发射也会导致接收窗口被意外阻塞。</w:t>
      </w:r>
    </w:p>
    <w:p w14:paraId="5EB978F0">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《标准》在发射机免测频段（5.3.3）部分中也指出“</w:t>
      </w:r>
      <w:r>
        <w:rPr>
          <w:rFonts w:hint="default" w:ascii="Times New Roman" w:hAnsi="Times New Roman" w:eastAsia="宋体" w:cs="Times New Roman"/>
          <w:sz w:val="24"/>
          <w:lang w:val="en-US" w:eastAsia="zh-CN"/>
        </w:rPr>
        <w:t>发信机免测频段为发信机工作的中心频率加减2倍DUT的占用带宽。</w:t>
      </w:r>
      <w:r>
        <w:rPr>
          <w:rFonts w:hint="eastAsia" w:ascii="Times New Roman" w:hAnsi="Times New Roman" w:eastAsia="宋体" w:cs="Times New Roman"/>
          <w:sz w:val="24"/>
          <w:lang w:val="en-US" w:eastAsia="zh-CN"/>
        </w:rPr>
        <w:t>”这表明，《标准》通过定义“免测频段”来规避对自身有用信号的无意义测试，隐含了对系统工作频段和资源的管理要求。</w:t>
      </w:r>
    </w:p>
    <w:p w14:paraId="3895BA68">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资源冲突的本质是频谱和时序的规划不当。</w:t>
      </w:r>
      <w:r>
        <w:rPr>
          <w:rFonts w:hint="eastAsia" w:ascii="Times New Roman" w:hAnsi="Times New Roman" w:eastAsia="宋体" w:cs="Times New Roman"/>
          <w:sz w:val="24"/>
          <w:lang w:val="en-US" w:eastAsia="zh-CN"/>
        </w:rPr>
        <w:t>对于这类问题，在EMC正向设计的研究中可着重考虑</w:t>
      </w:r>
      <w:r>
        <w:rPr>
          <w:rFonts w:hint="default" w:ascii="Times New Roman" w:hAnsi="Times New Roman" w:eastAsia="宋体" w:cs="Times New Roman"/>
          <w:sz w:val="24"/>
          <w:lang w:val="en-US" w:eastAsia="zh-CN"/>
        </w:rPr>
        <w:t>资源共享与时序控制等策略，正是在系统设计阶段对频谱和时序资源进行规划，以避免冲突，这与标准对频段管理的逻辑一脉相承。虽然</w:t>
      </w:r>
      <w:r>
        <w:rPr>
          <w:rFonts w:hint="eastAsia" w:ascii="Times New Roman" w:hAnsi="Times New Roman" w:eastAsia="宋体" w:cs="Times New Roman"/>
          <w:sz w:val="24"/>
          <w:lang w:val="en-US" w:eastAsia="zh-CN"/>
        </w:rPr>
        <w:t>《标准》</w:t>
      </w:r>
      <w:r>
        <w:rPr>
          <w:rFonts w:hint="default" w:ascii="Times New Roman" w:hAnsi="Times New Roman" w:eastAsia="宋体" w:cs="Times New Roman"/>
          <w:sz w:val="24"/>
          <w:lang w:val="en-US" w:eastAsia="zh-CN"/>
        </w:rPr>
        <w:t>不直接规定如何调度，但其</w:t>
      </w:r>
      <w:r>
        <w:rPr>
          <w:rFonts w:hint="eastAsia" w:ascii="Times New Roman" w:hAnsi="Times New Roman" w:eastAsia="宋体" w:cs="Times New Roman"/>
          <w:sz w:val="24"/>
          <w:lang w:val="en-US" w:eastAsia="zh-CN"/>
        </w:rPr>
        <w:t>严格的</w:t>
      </w:r>
      <w:r>
        <w:rPr>
          <w:rFonts w:hint="default" w:ascii="Times New Roman" w:hAnsi="Times New Roman" w:eastAsia="宋体" w:cs="Times New Roman"/>
          <w:sz w:val="24"/>
          <w:lang w:val="en-US" w:eastAsia="zh-CN"/>
        </w:rPr>
        <w:t>性能判据（如判据A）是检验资源调度策略是否有效的最终标准。</w:t>
      </w:r>
    </w:p>
    <w:p w14:paraId="3A4ACEC9">
      <w:pPr>
        <w:pStyle w:val="12"/>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3.1.3小结</w:t>
      </w:r>
    </w:p>
    <w:p w14:paraId="02A5C191">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多天线、射频模块共存，共享有限空间、时间和频段资源的系统架构特点，导致了其会产生独特的自干扰和资源冲突问题，对于这些问题，事后在电路板级别加滤波器无法根本解决这种系统级、芯片级别的干扰。这也决定了针对其的EMC正向设计要从顶层软件设计就开始考虑时域隔离、资源调度等策略，从逻辑和时序上避免干扰发生。</w:t>
      </w:r>
    </w:p>
    <w:p w14:paraId="78B2ACAF">
      <w:pPr>
        <w:pStyle w:val="12"/>
        <w:spacing w:line="360" w:lineRule="auto"/>
        <w:rPr>
          <w:rFonts w:hint="default"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3.2天线与射频前端特点及相关EMC问题与正向设计方案研究</w:t>
      </w:r>
    </w:p>
    <w:p w14:paraId="3758CA9C">
      <w:pPr>
        <w:pStyle w:val="12"/>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3.2.1天线与射频前端特点</w:t>
      </w:r>
    </w:p>
    <w:p w14:paraId="0EA2173B">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天线与射频前端具有高功率发射与高灵敏度接收并存的特点，这一特点极易导致发生辐射发射与辐射抗扰度测试不达标的问题，因此研究其天线与射频前端的EMC正向设计策略是十分必要的。该系统通常采用多阵元平面阵列天线，通过波束赋形技术实现空间选择性。</w:t>
      </w:r>
    </w:p>
    <w:p w14:paraId="5C0897D0">
      <w:pPr>
        <w:pStyle w:val="12"/>
        <w:spacing w:line="360" w:lineRule="auto"/>
        <w:outlineLvl w:val="3"/>
        <w:rPr>
          <w:rFonts w:hint="default"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3.2.2针对天线与射频前端特点的EMC正向设计研究方案</w:t>
      </w:r>
    </w:p>
    <w:p w14:paraId="52E780AA">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天线与射频前端是系统与外界电磁环境交互的边界，其特点决定了它同时是系统能量输出的“门户”（向卫星发射信号）和能量输入的“入口”（从卫星接收信号）。这一特点决定了它既是系统内最强的干扰发射源，又是系统内最敏感的干扰接收器。</w:t>
      </w:r>
    </w:p>
    <w:p w14:paraId="3AF95C1B">
      <w:pPr>
        <w:numPr>
          <w:ilvl w:val="0"/>
          <w:numId w:val="2"/>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辐射发射问题：车载低轨卫星通信系统的发射机产生的带外杂散和谐波分量容易通过天线辐射，干扰车内其他电子系统（如ADAS传感器、信息娱乐系统）。因此，针对车载低轨卫星通信系统的辐射发射的EMC正向设计，主要是从发射机杂散和谐波辐射的方面进行考虑。</w:t>
      </w:r>
    </w:p>
    <w:p w14:paraId="281B012A">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《标准》在辐射杂散骚扰（8.1.2.1）部分中给出了限值规定：</w:t>
      </w:r>
    </w:p>
    <w:p w14:paraId="5D9008D4">
      <w:pPr>
        <w:numPr>
          <w:ilvl w:val="0"/>
          <w:numId w:val="0"/>
        </w:numPr>
        <w:spacing w:line="360" w:lineRule="auto"/>
        <w:ind w:firstLine="420" w:firstLineChars="200"/>
      </w:pPr>
      <w:r>
        <w:drawing>
          <wp:inline distT="0" distB="0" distL="114300" distR="114300">
            <wp:extent cx="5270500" cy="1293495"/>
            <wp:effectExtent l="0" t="0" r="635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0500" cy="1293495"/>
                    </a:xfrm>
                    <a:prstGeom prst="rect">
                      <a:avLst/>
                    </a:prstGeom>
                    <a:noFill/>
                    <a:ln>
                      <a:noFill/>
                    </a:ln>
                  </pic:spPr>
                </pic:pic>
              </a:graphicData>
            </a:graphic>
          </wp:inline>
        </w:drawing>
      </w:r>
    </w:p>
    <w:p w14:paraId="007DF5A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这是对天线端口无序辐射、</w:t>
      </w:r>
      <w:r>
        <w:rPr>
          <w:rFonts w:hint="default" w:ascii="Times New Roman" w:hAnsi="Times New Roman" w:eastAsia="宋体" w:cs="Times New Roman"/>
          <w:sz w:val="24"/>
          <w:lang w:val="en-US" w:eastAsia="zh-CN"/>
        </w:rPr>
        <w:t>干扰</w:t>
      </w:r>
      <w:r>
        <w:rPr>
          <w:rFonts w:hint="eastAsia" w:ascii="Times New Roman" w:hAnsi="Times New Roman" w:eastAsia="宋体" w:cs="Times New Roman"/>
          <w:sz w:val="24"/>
          <w:lang w:val="en-US" w:eastAsia="zh-CN"/>
        </w:rPr>
        <w:t>其他设备</w:t>
      </w:r>
      <w:r>
        <w:rPr>
          <w:rFonts w:hint="default" w:ascii="Times New Roman" w:hAnsi="Times New Roman" w:eastAsia="宋体" w:cs="Times New Roman"/>
          <w:sz w:val="24"/>
          <w:lang w:val="en-US" w:eastAsia="zh-CN"/>
        </w:rPr>
        <w:t>的最核心、最直接的限值规定。</w:t>
      </w:r>
      <w:r>
        <w:rPr>
          <w:rFonts w:hint="eastAsia" w:ascii="Times New Roman" w:hAnsi="Times New Roman" w:eastAsia="宋体" w:cs="Times New Roman"/>
          <w:sz w:val="24"/>
          <w:lang w:val="en-US" w:eastAsia="zh-CN"/>
        </w:rPr>
        <w:t>因此在进行天线与射频前端的EMC正向设计时需要重点考虑这一点。需要结合最新的</w:t>
      </w:r>
      <w:r>
        <w:rPr>
          <w:rFonts w:hint="default" w:ascii="Times New Roman" w:hAnsi="Times New Roman" w:eastAsia="宋体" w:cs="Times New Roman"/>
          <w:sz w:val="24"/>
          <w:lang w:val="en-US" w:eastAsia="zh-CN"/>
        </w:rPr>
        <w:t>波束赋形</w:t>
      </w:r>
      <w:r>
        <w:rPr>
          <w:rFonts w:hint="eastAsia" w:ascii="Times New Roman" w:hAnsi="Times New Roman" w:eastAsia="宋体" w:cs="Times New Roman"/>
          <w:sz w:val="24"/>
          <w:lang w:val="en-US" w:eastAsia="zh-CN"/>
        </w:rPr>
        <w:t>主动干扰抑制、</w:t>
      </w:r>
      <w:r>
        <w:rPr>
          <w:rFonts w:hint="default" w:ascii="Times New Roman" w:hAnsi="Times New Roman" w:eastAsia="宋体" w:cs="Times New Roman"/>
          <w:sz w:val="24"/>
          <w:lang w:val="en-US" w:eastAsia="zh-CN"/>
        </w:rPr>
        <w:t>射频链路滤波设计</w:t>
      </w:r>
      <w:r>
        <w:rPr>
          <w:rFonts w:hint="eastAsia" w:ascii="Times New Roman" w:hAnsi="Times New Roman" w:eastAsia="宋体" w:cs="Times New Roman"/>
          <w:sz w:val="24"/>
          <w:lang w:val="en-US" w:eastAsia="zh-CN"/>
        </w:rPr>
        <w:t>等技术。</w:t>
      </w:r>
    </w:p>
    <w:p w14:paraId="5E6F24A1">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通过设计波束赋形：可以</w:t>
      </w:r>
      <w:r>
        <w:rPr>
          <w:rFonts w:hint="default" w:ascii="Times New Roman" w:hAnsi="Times New Roman" w:eastAsia="宋体" w:cs="Times New Roman"/>
          <w:sz w:val="24"/>
          <w:lang w:val="en-US" w:eastAsia="zh-CN"/>
        </w:rPr>
        <w:t>控制能量方向并抑制带外杂散，降低了非期望方向的杂散辐射。</w:t>
      </w:r>
      <w:r>
        <w:rPr>
          <w:rFonts w:hint="eastAsia" w:ascii="Times New Roman" w:hAnsi="Times New Roman" w:eastAsia="宋体" w:cs="Times New Roman"/>
          <w:sz w:val="24"/>
          <w:lang w:val="en-US" w:eastAsia="zh-CN"/>
        </w:rPr>
        <w:t>通过进行射频链路滤波设计：如</w:t>
      </w:r>
      <w:r>
        <w:rPr>
          <w:rFonts w:hint="default" w:ascii="Times New Roman" w:hAnsi="Times New Roman" w:eastAsia="宋体" w:cs="Times New Roman"/>
          <w:sz w:val="24"/>
          <w:lang w:val="en-US" w:eastAsia="zh-CN"/>
        </w:rPr>
        <w:t>使用SAW滤波器、双工器等，</w:t>
      </w:r>
      <w:r>
        <w:rPr>
          <w:rFonts w:hint="eastAsia" w:ascii="Times New Roman" w:hAnsi="Times New Roman" w:eastAsia="宋体" w:cs="Times New Roman"/>
          <w:sz w:val="24"/>
          <w:lang w:val="en-US" w:eastAsia="zh-CN"/>
        </w:rPr>
        <w:t>可以</w:t>
      </w:r>
      <w:r>
        <w:rPr>
          <w:rFonts w:hint="default" w:ascii="Times New Roman" w:hAnsi="Times New Roman" w:eastAsia="宋体" w:cs="Times New Roman"/>
          <w:sz w:val="24"/>
          <w:lang w:val="en-US" w:eastAsia="zh-CN"/>
        </w:rPr>
        <w:t>抑制带外噪声和杂散。以确保其辐射杂散满足表4中-36dBm的严格限值。</w:t>
      </w:r>
    </w:p>
    <w:p w14:paraId="0DB6AC57">
      <w:pPr>
        <w:numPr>
          <w:ilvl w:val="0"/>
          <w:numId w:val="2"/>
        </w:numPr>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辐射抗扰度问题：车载低轨卫星通信系统的接收通道易受车辆内部电机、电控单元等噪声源以及外部基站、高压线路等强电磁场的干扰。因此需要重点研究针对车载低轨卫星通信系统接收天线拾取内外噪声的特性与EMC正向设计。</w:t>
      </w:r>
    </w:p>
    <w:p w14:paraId="17887F47">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《标准》在电磁辐射抗扰度（9.2.1）部分中规定：“在400 MHz～6 GHz的90%以上频段内，试验场强为30 V/m（均方根值）。”也就是说，此项测试模拟了来自外部（如基站、雷达）和车辆内部（如电机、控制器）的强电磁辐射干扰，直接考核设备（通过天线和机壳）</w:t>
      </w:r>
      <w:r>
        <w:rPr>
          <w:rFonts w:hint="default" w:ascii="Times New Roman" w:hAnsi="Times New Roman" w:eastAsia="宋体" w:cs="Times New Roman"/>
          <w:sz w:val="24"/>
          <w:lang w:val="en-US" w:eastAsia="zh-CN"/>
        </w:rPr>
        <w:t>被</w:t>
      </w:r>
      <w:r>
        <w:rPr>
          <w:rFonts w:hint="eastAsia" w:ascii="Times New Roman" w:hAnsi="Times New Roman" w:eastAsia="宋体" w:cs="Times New Roman"/>
          <w:sz w:val="24"/>
          <w:lang w:val="en-US" w:eastAsia="zh-CN"/>
        </w:rPr>
        <w:t>外界信号</w:t>
      </w:r>
      <w:r>
        <w:rPr>
          <w:rFonts w:hint="default" w:ascii="Times New Roman" w:hAnsi="Times New Roman" w:eastAsia="宋体" w:cs="Times New Roman"/>
          <w:sz w:val="24"/>
          <w:lang w:val="en-US" w:eastAsia="zh-CN"/>
        </w:rPr>
        <w:t>干扰时的承受能力。</w:t>
      </w:r>
    </w:p>
    <w:p w14:paraId="01CA1565">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针对该项问题可以对于天线在空间选择性技术上进行EMC正向设计方案的考量，如设计</w:t>
      </w:r>
      <w:r>
        <w:rPr>
          <w:rFonts w:hint="default" w:ascii="Times New Roman" w:hAnsi="Times New Roman" w:eastAsia="宋体" w:cs="Times New Roman"/>
          <w:sz w:val="24"/>
          <w:lang w:val="en-US" w:eastAsia="zh-CN"/>
        </w:rPr>
        <w:t>波束赋形在干扰方向形成</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零</w:t>
      </w:r>
      <w:r>
        <w:rPr>
          <w:rFonts w:hint="eastAsia" w:ascii="Times New Roman" w:hAnsi="Times New Roman" w:eastAsia="宋体" w:cs="Times New Roman"/>
          <w:sz w:val="24"/>
          <w:lang w:val="en-US" w:eastAsia="zh-CN"/>
        </w:rPr>
        <w:t>点”</w:t>
      </w:r>
      <w:r>
        <w:rPr>
          <w:rFonts w:hint="default" w:ascii="Times New Roman" w:hAnsi="Times New Roman" w:eastAsia="宋体" w:cs="Times New Roman"/>
          <w:sz w:val="24"/>
          <w:lang w:val="en-US" w:eastAsia="zh-CN"/>
        </w:rPr>
        <w:t>的能力，</w:t>
      </w:r>
      <w:r>
        <w:rPr>
          <w:rFonts w:hint="eastAsia" w:ascii="Times New Roman" w:hAnsi="Times New Roman" w:eastAsia="宋体" w:cs="Times New Roman"/>
          <w:sz w:val="24"/>
          <w:lang w:val="en-US" w:eastAsia="zh-CN"/>
        </w:rPr>
        <w:t>增强天线抗干扰的能力。或者对于天线本体进行设计，</w:t>
      </w:r>
      <w:r>
        <w:rPr>
          <w:rFonts w:hint="default" w:ascii="Times New Roman" w:hAnsi="Times New Roman" w:eastAsia="宋体" w:cs="Times New Roman"/>
          <w:sz w:val="24"/>
          <w:lang w:val="en-US" w:eastAsia="zh-CN"/>
        </w:rPr>
        <w:t>将能量集中指向卫星，减少对车内设备的干扰。</w:t>
      </w:r>
      <w:r>
        <w:rPr>
          <w:rFonts w:hint="eastAsia" w:ascii="Times New Roman" w:hAnsi="Times New Roman" w:eastAsia="宋体" w:cs="Times New Roman"/>
          <w:sz w:val="24"/>
          <w:lang w:val="en-US" w:eastAsia="zh-CN"/>
        </w:rPr>
        <w:t>如进行</w:t>
      </w:r>
      <w:r>
        <w:rPr>
          <w:rFonts w:hint="default" w:ascii="Times New Roman" w:hAnsi="Times New Roman" w:eastAsia="宋体" w:cs="Times New Roman"/>
          <w:sz w:val="24"/>
          <w:lang w:val="en-US" w:eastAsia="zh-CN"/>
        </w:rPr>
        <w:t>低轮廓定向天线设计，选用方向图可控的低轮廓平板阵列天线，都是提升此项30V/m抗扰度等级的关键手段。</w:t>
      </w:r>
    </w:p>
    <w:p w14:paraId="4689848B">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此外还可以从天线本身状况入手进行正向设计，如许多主流方案中</w:t>
      </w:r>
      <w:r>
        <w:rPr>
          <w:rFonts w:hint="default" w:ascii="Times New Roman" w:hAnsi="Times New Roman" w:eastAsia="宋体" w:cs="Times New Roman"/>
          <w:sz w:val="24"/>
          <w:lang w:val="en-US" w:eastAsia="zh-CN"/>
        </w:rPr>
        <w:t>将天线布置于车顶并指向上方空域，利用车身进行空间隔离，将主辐射能量导向车外。此布局是一种物理上的EMC措施，能有效降低对车内敏感设备的辐射干扰。</w:t>
      </w:r>
      <w:r>
        <w:rPr>
          <w:rFonts w:hint="eastAsia" w:ascii="Times New Roman" w:hAnsi="Times New Roman" w:eastAsia="宋体" w:cs="Times New Roman"/>
          <w:sz w:val="24"/>
          <w:lang w:val="en-US" w:eastAsia="zh-CN"/>
        </w:rPr>
        <w:t>另外在生产下线检测时也应重点针对天线的电磁性能做重点设计测试。</w:t>
      </w:r>
    </w:p>
    <w:p w14:paraId="3F2981F8">
      <w:pPr>
        <w:pStyle w:val="12"/>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3.2.3小结</w:t>
      </w:r>
    </w:p>
    <w:p w14:paraId="33E442F2">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的天线与射频前端具有高功率发射与高灵敏度接收并存的特点，这一特点是引发该层级EMC问题的源头。本研究方案中介绍了针对这一特点可能出现的辐射发射与辐射抗扰度的问题，并着重介绍了从波束赋形、天线设计、射频链路滤波设计、天线位置设计等方面进行EMC正向设计的研究策略。</w:t>
      </w:r>
    </w:p>
    <w:p w14:paraId="7928EAA2">
      <w:pPr>
        <w:pStyle w:val="12"/>
        <w:spacing w:line="360" w:lineRule="auto"/>
        <w:rPr>
          <w:rFonts w:hint="default"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3.3硬件平台特点及相关EMC问题与正向设计方案研究</w:t>
      </w:r>
    </w:p>
    <w:p w14:paraId="71DAFA7E">
      <w:pPr>
        <w:pStyle w:val="12"/>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3.3.1硬件平台特点</w:t>
      </w:r>
    </w:p>
    <w:p w14:paraId="0BE80182">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硬件平台采用数字基带与射频前端混合集成架构，在有限空间内实现了多功能模块的高度集成。其硬件平台是高频数字电路、高速处理器、高精度模拟射频电路的混合体，且在车载环境中有空间相对狭小、车辆行驶时的震动等影响，也会对整体硬件线束连接等引发问题。</w:t>
      </w:r>
    </w:p>
    <w:p w14:paraId="00E388C1">
      <w:pPr>
        <w:pStyle w:val="12"/>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3.3.2针对硬件平台特点的EMC正向设计研究方案</w:t>
      </w:r>
    </w:p>
    <w:p w14:paraId="5B39ABC5">
      <w:pPr>
        <w:numPr>
          <w:ilvl w:val="0"/>
          <w:numId w:val="3"/>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车载环境的要求：在车载环境中，各类汽车电子器件易受影响，也易影响低轨卫星通信系统。同时汽车行驶时本身引发的震动对硬件平台造成的问题也不应忽视。</w:t>
      </w:r>
    </w:p>
    <w:p w14:paraId="3F94EE6C">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《标准》中强调了</w:t>
      </w:r>
      <w:r>
        <w:rPr>
          <w:rFonts w:hint="default" w:ascii="Times New Roman" w:hAnsi="Times New Roman" w:eastAsia="宋体" w:cs="Times New Roman"/>
          <w:sz w:val="24"/>
          <w:lang w:val="en-US" w:eastAsia="zh-CN"/>
        </w:rPr>
        <w:t>辐射骚扰</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8.2</w:t>
      </w:r>
      <w:r>
        <w:rPr>
          <w:rFonts w:hint="eastAsia" w:ascii="Times New Roman" w:hAnsi="Times New Roman" w:eastAsia="宋体" w:cs="Times New Roman"/>
          <w:sz w:val="24"/>
          <w:lang w:val="en-US" w:eastAsia="zh-CN"/>
        </w:rPr>
        <w:t>）和</w:t>
      </w:r>
      <w:r>
        <w:rPr>
          <w:rFonts w:hint="default" w:ascii="Times New Roman" w:hAnsi="Times New Roman" w:eastAsia="宋体" w:cs="Times New Roman"/>
          <w:sz w:val="24"/>
          <w:lang w:val="en-US" w:eastAsia="zh-CN"/>
        </w:rPr>
        <w:t>电磁辐射抗扰度</w:t>
      </w:r>
      <w:r>
        <w:rPr>
          <w:rFonts w:hint="eastAsia" w:ascii="Times New Roman" w:hAnsi="Times New Roman" w:eastAsia="宋体" w:cs="Times New Roman"/>
          <w:sz w:val="24"/>
          <w:lang w:val="en-US" w:eastAsia="zh-CN"/>
        </w:rPr>
        <w:t>（9.2），同时也强调了</w:t>
      </w:r>
      <w:r>
        <w:rPr>
          <w:rFonts w:hint="default" w:ascii="Times New Roman" w:hAnsi="Times New Roman" w:eastAsia="宋体" w:cs="Times New Roman"/>
          <w:sz w:val="24"/>
          <w:lang w:val="en-US" w:eastAsia="zh-CN"/>
        </w:rPr>
        <w:t>静电放电抗扰度</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9.1</w:t>
      </w:r>
      <w:r>
        <w:rPr>
          <w:rFonts w:hint="eastAsia" w:ascii="Times New Roman" w:hAnsi="Times New Roman" w:eastAsia="宋体" w:cs="Times New Roman"/>
          <w:sz w:val="24"/>
          <w:lang w:val="en-US" w:eastAsia="zh-CN"/>
        </w:rPr>
        <w:t>），这就要求我们在进行EMC正向设计时需要考虑到：</w:t>
      </w:r>
      <w:r>
        <w:rPr>
          <w:rFonts w:hint="default" w:ascii="Times New Roman" w:hAnsi="Times New Roman" w:eastAsia="宋体" w:cs="Times New Roman"/>
          <w:sz w:val="24"/>
          <w:lang w:val="en-US" w:eastAsia="zh-CN"/>
        </w:rPr>
        <w:t>屏蔽</w:t>
      </w:r>
      <w:r>
        <w:rPr>
          <w:rFonts w:hint="eastAsia" w:ascii="Times New Roman" w:hAnsi="Times New Roman" w:eastAsia="宋体" w:cs="Times New Roman"/>
          <w:sz w:val="24"/>
          <w:lang w:val="en-US" w:eastAsia="zh-CN"/>
        </w:rPr>
        <w:t>，以</w:t>
      </w:r>
      <w:r>
        <w:rPr>
          <w:rFonts w:hint="default" w:ascii="Times New Roman" w:hAnsi="Times New Roman" w:eastAsia="宋体" w:cs="Times New Roman"/>
          <w:sz w:val="24"/>
          <w:lang w:val="en-US" w:eastAsia="zh-CN"/>
        </w:rPr>
        <w:t>应对这些以</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机壳端口</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为对象的测试项目</w:t>
      </w:r>
      <w:r>
        <w:rPr>
          <w:rFonts w:hint="eastAsia" w:ascii="Times New Roman" w:hAnsi="Times New Roman" w:eastAsia="宋体" w:cs="Times New Roman"/>
          <w:sz w:val="24"/>
          <w:lang w:val="en-US" w:eastAsia="zh-CN"/>
        </w:rPr>
        <w:t>，并需要对整体的硬件平台线束连接等设计</w:t>
      </w:r>
      <w:r>
        <w:rPr>
          <w:rFonts w:hint="default" w:ascii="Times New Roman" w:hAnsi="Times New Roman" w:eastAsia="宋体" w:cs="Times New Roman"/>
          <w:sz w:val="24"/>
          <w:lang w:val="en-US" w:eastAsia="zh-CN"/>
        </w:rPr>
        <w:t>可靠的连接避免了接触不良导致的瞬时中断或放电。</w:t>
      </w:r>
    </w:p>
    <w:p w14:paraId="4E6E73F1">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设计时可以着重考虑：</w:t>
      </w:r>
      <w:r>
        <w:rPr>
          <w:rFonts w:hint="default" w:ascii="Times New Roman" w:hAnsi="Times New Roman" w:eastAsia="宋体" w:cs="Times New Roman"/>
          <w:sz w:val="24"/>
          <w:lang w:val="en-US" w:eastAsia="zh-CN"/>
        </w:rPr>
        <w:t>模块集成</w:t>
      </w:r>
      <w:r>
        <w:rPr>
          <w:rFonts w:hint="eastAsia" w:ascii="Times New Roman" w:hAnsi="Times New Roman" w:eastAsia="宋体" w:cs="Times New Roman"/>
          <w:sz w:val="24"/>
          <w:lang w:val="en-US" w:eastAsia="zh-CN"/>
        </w:rPr>
        <w:t>与</w:t>
      </w:r>
      <w:r>
        <w:rPr>
          <w:rFonts w:hint="default" w:ascii="Times New Roman" w:hAnsi="Times New Roman" w:eastAsia="宋体" w:cs="Times New Roman"/>
          <w:sz w:val="24"/>
          <w:lang w:val="en-US" w:eastAsia="zh-CN"/>
        </w:rPr>
        <w:t>金属屏蔽</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将核心通信模块集成在一个金属外壳内，构成屏蔽体，抑制内部噪声外泄并抵御外部干扰。缝隙处理</w:t>
      </w:r>
      <w:r>
        <w:rPr>
          <w:rFonts w:hint="eastAsia" w:ascii="Times New Roman" w:hAnsi="Times New Roman" w:eastAsia="宋体" w:cs="Times New Roman"/>
          <w:sz w:val="24"/>
          <w:lang w:val="en-US" w:eastAsia="zh-CN"/>
        </w:rPr>
        <w:t>可以</w:t>
      </w:r>
      <w:r>
        <w:rPr>
          <w:rFonts w:hint="default" w:ascii="Times New Roman" w:hAnsi="Times New Roman" w:eastAsia="宋体" w:cs="Times New Roman"/>
          <w:sz w:val="24"/>
          <w:lang w:val="en-US" w:eastAsia="zh-CN"/>
        </w:rPr>
        <w:t>遵循λ/20</w:t>
      </w:r>
      <w:r>
        <w:rPr>
          <w:rFonts w:hint="eastAsia" w:ascii="Times New Roman" w:hAnsi="Times New Roman" w:eastAsia="宋体" w:cs="Times New Roman"/>
          <w:sz w:val="24"/>
          <w:lang w:val="en-US" w:eastAsia="zh-CN"/>
        </w:rPr>
        <w:t>等经典</w:t>
      </w:r>
      <w:r>
        <w:rPr>
          <w:rFonts w:hint="default" w:ascii="Times New Roman" w:hAnsi="Times New Roman" w:eastAsia="宋体" w:cs="Times New Roman"/>
          <w:sz w:val="24"/>
          <w:lang w:val="en-US" w:eastAsia="zh-CN"/>
        </w:rPr>
        <w:t>原则（如500MHz对应缝隙≤30mm）。</w:t>
      </w:r>
      <w:r>
        <w:rPr>
          <w:rFonts w:hint="eastAsia" w:ascii="Times New Roman" w:hAnsi="Times New Roman" w:eastAsia="宋体" w:cs="Times New Roman"/>
          <w:sz w:val="24"/>
          <w:lang w:val="en-US" w:eastAsia="zh-CN"/>
        </w:rPr>
        <w:t>同时针对某些连接处可以进行</w:t>
      </w:r>
      <w:r>
        <w:rPr>
          <w:rFonts w:hint="default" w:ascii="Times New Roman" w:hAnsi="Times New Roman" w:eastAsia="宋体" w:cs="Times New Roman"/>
          <w:sz w:val="24"/>
          <w:lang w:val="en-US" w:eastAsia="zh-CN"/>
        </w:rPr>
        <w:t>可靠的连接器设计</w:t>
      </w:r>
      <w:r>
        <w:rPr>
          <w:rFonts w:hint="eastAsia" w:ascii="Times New Roman" w:hAnsi="Times New Roman" w:eastAsia="宋体" w:cs="Times New Roman"/>
          <w:sz w:val="24"/>
          <w:lang w:val="en-US" w:eastAsia="zh-CN"/>
        </w:rPr>
        <w:t>，如</w:t>
      </w:r>
      <w:r>
        <w:rPr>
          <w:rFonts w:hint="default" w:ascii="Times New Roman" w:hAnsi="Times New Roman" w:eastAsia="宋体" w:cs="Times New Roman"/>
          <w:sz w:val="24"/>
          <w:lang w:val="en-US" w:eastAsia="zh-CN"/>
        </w:rPr>
        <w:t>采用具有二次锁扣的快速插拔接口</w:t>
      </w:r>
      <w:r>
        <w:rPr>
          <w:rFonts w:hint="eastAsia" w:ascii="Times New Roman" w:hAnsi="Times New Roman" w:eastAsia="宋体" w:cs="Times New Roman"/>
          <w:sz w:val="24"/>
          <w:lang w:val="en-US" w:eastAsia="zh-CN"/>
        </w:rPr>
        <w:t>等经典电子器械设计</w:t>
      </w:r>
      <w:r>
        <w:rPr>
          <w:rFonts w:hint="default" w:ascii="Times New Roman" w:hAnsi="Times New Roman" w:eastAsia="宋体" w:cs="Times New Roman"/>
          <w:sz w:val="24"/>
          <w:lang w:val="en-US" w:eastAsia="zh-CN"/>
        </w:rPr>
        <w:t>，确保振动环境下连接的物理完整性，避免电弧干扰。</w:t>
      </w:r>
    </w:p>
    <w:p w14:paraId="4E446B6B">
      <w:pPr>
        <w:numPr>
          <w:ilvl w:val="0"/>
          <w:numId w:val="3"/>
        </w:numPr>
        <w:spacing w:line="360" w:lineRule="auto"/>
        <w:ind w:left="0" w:leftChars="0"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数字电路干扰射频电路问题：车载低轨卫星通信系统硬件平台的这种架构特点，容易导致数字电路产生的高速开关噪声通过共模路径耦合到敏感的射频接收电路，造成接收机噪声基底抬升和动态范围压缩。此外，多模块共存的电源分配网络易形成共阻抗耦合，进一步加剧系统内部的相互干扰。</w:t>
      </w:r>
    </w:p>
    <w:p w14:paraId="6AEF2A48">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《标准》中的大电流注入（BCI）抗扰度(9.3.1)部分，规定：“在1 MHz～400 MHz的90%以上频段内，试验电流为60 mA（均方根值）。”针对该方面的问题及测试，EMC正向设计应从降低底层噪声与瞬态干扰的角度出发。</w:t>
      </w:r>
    </w:p>
    <w:p w14:paraId="2542EF88">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BCI测试通过电流探头将干扰直接耦合到线缆上，模拟了数字电路噪声通过公共阻抗（如电源和地平面）耦合到敏感射频电路的场景。通过设计研究</w:t>
      </w:r>
      <w:r>
        <w:rPr>
          <w:rFonts w:hint="default" w:ascii="Times New Roman" w:hAnsi="Times New Roman" w:eastAsia="宋体" w:cs="Times New Roman"/>
          <w:sz w:val="24"/>
          <w:lang w:val="en-US" w:eastAsia="zh-CN"/>
        </w:rPr>
        <w:t>专用的电源管理模块(PMU) 和优良的PCB接地设计</w:t>
      </w:r>
      <w:r>
        <w:rPr>
          <w:rFonts w:hint="eastAsia" w:ascii="Times New Roman" w:hAnsi="Times New Roman" w:eastAsia="宋体" w:cs="Times New Roman"/>
          <w:sz w:val="24"/>
          <w:lang w:val="en-US" w:eastAsia="zh-CN"/>
        </w:rPr>
        <w:t>作为EMC正向设计策略</w:t>
      </w:r>
      <w:r>
        <w:rPr>
          <w:rFonts w:hint="default" w:ascii="Times New Roman" w:hAnsi="Times New Roman" w:eastAsia="宋体" w:cs="Times New Roman"/>
          <w:sz w:val="24"/>
          <w:lang w:val="en-US" w:eastAsia="zh-CN"/>
        </w:rPr>
        <w:t>是提供低阻抗回流路径、抑制此类共模干扰的基础。</w:t>
      </w:r>
    </w:p>
    <w:p w14:paraId="58023B64">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（3）噪声外泄问题：车载低轨卫星通信系统平台内部的高速时钟电路、电源转换模块等产生的电磁噪声会通过机壳缝隙和外部端口向外辐射，影响系统整体电磁兼容性能。</w:t>
      </w:r>
    </w:p>
    <w:p w14:paraId="4CCE31C4">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《标准》在辐射骚扰 (8.2) 与 传导骚扰-电流法 (8.4)部分中也给出了限值规定，以测试电路板自身辐射噪声的问题：</w:t>
      </w:r>
    </w:p>
    <w:p w14:paraId="5837DF3C">
      <w:pPr>
        <w:numPr>
          <w:ilvl w:val="0"/>
          <w:numId w:val="0"/>
        </w:numPr>
        <w:spacing w:line="360" w:lineRule="auto"/>
        <w:ind w:firstLine="420" w:firstLineChars="200"/>
      </w:pPr>
      <w:r>
        <w:drawing>
          <wp:inline distT="0" distB="0" distL="114300" distR="114300">
            <wp:extent cx="5269865" cy="5582920"/>
            <wp:effectExtent l="0" t="0" r="698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865" cy="5582920"/>
                    </a:xfrm>
                    <a:prstGeom prst="rect">
                      <a:avLst/>
                    </a:prstGeom>
                    <a:noFill/>
                    <a:ln>
                      <a:noFill/>
                    </a:ln>
                  </pic:spPr>
                </pic:pic>
              </a:graphicData>
            </a:graphic>
          </wp:inline>
        </w:drawing>
      </w:r>
    </w:p>
    <w:p w14:paraId="3601DC80">
      <w:pPr>
        <w:numPr>
          <w:ilvl w:val="0"/>
          <w:numId w:val="0"/>
        </w:numPr>
        <w:spacing w:line="360" w:lineRule="auto"/>
        <w:ind w:firstLine="420" w:firstLineChars="200"/>
      </w:pPr>
      <w:r>
        <w:drawing>
          <wp:inline distT="0" distB="0" distL="114300" distR="114300">
            <wp:extent cx="5269865" cy="2221865"/>
            <wp:effectExtent l="0" t="0" r="698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9865" cy="2221865"/>
                    </a:xfrm>
                    <a:prstGeom prst="rect">
                      <a:avLst/>
                    </a:prstGeom>
                    <a:noFill/>
                    <a:ln>
                      <a:noFill/>
                    </a:ln>
                  </pic:spPr>
                </pic:pic>
              </a:graphicData>
            </a:graphic>
          </wp:inline>
        </w:drawing>
      </w:r>
    </w:p>
    <w:p w14:paraId="182366C2">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高速数字电路（时钟、处理器）本身就是</w:t>
      </w:r>
      <w:r>
        <w:rPr>
          <w:rFonts w:hint="default" w:ascii="Times New Roman" w:hAnsi="Times New Roman" w:eastAsia="宋体" w:cs="Times New Roman"/>
          <w:sz w:val="24"/>
          <w:lang w:val="en-US" w:eastAsia="zh-CN"/>
        </w:rPr>
        <w:t>噪声外泄的源头。辐射骚扰</w:t>
      </w:r>
      <w:r>
        <w:rPr>
          <w:rFonts w:hint="eastAsia" w:ascii="Times New Roman" w:hAnsi="Times New Roman" w:eastAsia="宋体" w:cs="Times New Roman"/>
          <w:sz w:val="24"/>
          <w:lang w:val="en-US" w:eastAsia="zh-CN"/>
        </w:rPr>
        <w:t>测试</w:t>
      </w:r>
      <w:r>
        <w:rPr>
          <w:rFonts w:hint="default" w:ascii="Times New Roman" w:hAnsi="Times New Roman" w:eastAsia="宋体" w:cs="Times New Roman"/>
          <w:sz w:val="24"/>
          <w:lang w:val="en-US" w:eastAsia="zh-CN"/>
        </w:rPr>
        <w:t>限制通过空间辐射的噪声，而传导骚扰-电流法</w:t>
      </w:r>
      <w:r>
        <w:rPr>
          <w:rFonts w:hint="eastAsia" w:ascii="Times New Roman" w:hAnsi="Times New Roman" w:eastAsia="宋体" w:cs="Times New Roman"/>
          <w:sz w:val="24"/>
          <w:lang w:val="en-US" w:eastAsia="zh-CN"/>
        </w:rPr>
        <w:t>测试</w:t>
      </w:r>
      <w:r>
        <w:rPr>
          <w:rFonts w:hint="default" w:ascii="Times New Roman" w:hAnsi="Times New Roman" w:eastAsia="宋体" w:cs="Times New Roman"/>
          <w:sz w:val="24"/>
          <w:lang w:val="en-US" w:eastAsia="zh-CN"/>
        </w:rPr>
        <w:t>限制通过信号/控制线缆传导出去的噪声。</w:t>
      </w:r>
      <w:r>
        <w:rPr>
          <w:rFonts w:hint="eastAsia" w:ascii="Times New Roman" w:hAnsi="Times New Roman" w:eastAsia="宋体" w:cs="Times New Roman"/>
          <w:sz w:val="24"/>
          <w:lang w:val="en-US" w:eastAsia="zh-CN"/>
        </w:rPr>
        <w:t>对于该项问题的EMC正向设计研究，</w:t>
      </w:r>
      <w:r>
        <w:rPr>
          <w:rFonts w:hint="default" w:ascii="Times New Roman" w:hAnsi="Times New Roman" w:eastAsia="宋体" w:cs="Times New Roman"/>
          <w:sz w:val="24"/>
          <w:lang w:val="en-US" w:eastAsia="zh-CN"/>
        </w:rPr>
        <w:t>金属屏蔽壳和优化的PCB布局是同时满足这两项要求的核心措施。</w:t>
      </w:r>
    </w:p>
    <w:p w14:paraId="2F5C778C">
      <w:pPr>
        <w:pStyle w:val="12"/>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3.3.3小结</w:t>
      </w:r>
    </w:p>
    <w:p w14:paraId="3E91ABC6">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硬件平台是系统的“躯体”，其特点决定了系统内部电磁环境的“洁净度”。即使系统调度和天线设计完美，如果电路板本身噪声巨大，一切将是徒劳。平台上密集集成了高频、高速的数字处理电路（如CPU、DDR，产生丰富谐波噪声）和高精度、高灵敏度的模拟射频电路（如晶振、锁相环、接收机前端）。数字电路的开关噪声极易通过电源和地平面耦合到射频电路，淹没微弱的卫星信号。</w:t>
      </w:r>
    </w:p>
    <w:p w14:paraId="0AF858BD">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受限于车载环境，所有核心模块（电源、数字处理、射频收发）必须高度集成于狭小的空间内导致干扰源与敏感电路之间的物理距离极近，使得能量耦合路径短、效率高，传统“距离衰减”的EMC优势不复存在。任何设计不当都会导致噪声的“串扰”和“泄漏”。</w:t>
      </w:r>
    </w:p>
    <w:p w14:paraId="41040EEC">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本研究方案聚焦于车载环境、数字电路干扰射频电路、噪声外泄三个层面，分别从硬件外壳与线束连接装置、模块化设计方案（如专用电源模块设计）、PCB设计思路等角度为EMC正向设计策略提供研究方案与框架。</w:t>
      </w:r>
    </w:p>
    <w:p w14:paraId="144E6133">
      <w:pPr>
        <w:pStyle w:val="12"/>
        <w:spacing w:line="360" w:lineRule="auto"/>
        <w:rPr>
          <w:rFonts w:hint="default"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3.4线束布局特点及相关EMC问题与正向设计方案研究</w:t>
      </w:r>
    </w:p>
    <w:p w14:paraId="6033257E">
      <w:pPr>
        <w:pStyle w:val="12"/>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3.4.1线束布局特点</w:t>
      </w:r>
    </w:p>
    <w:p w14:paraId="48F62B93">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在车载低轨卫星通信系统中，线束具有传输距离长、类型多样化特点，在复杂的车载电磁环境中需要与多种线束并行布线。</w:t>
      </w:r>
    </w:p>
    <w:p w14:paraId="34799CCF">
      <w:pPr>
        <w:pStyle w:val="12"/>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3.4.2针对线束布局特点的EMC正向设计研究方案</w:t>
      </w:r>
    </w:p>
    <w:p w14:paraId="5A043052">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耦合干扰问题：这种布局特点容易导致两类主要EMC问题：一是通过线束间的容性和感性耦合引入外部干扰，特别是大功率设备（如电动水泵、风扇电机）电源线上瞬态噪声会耦合到敏感的卫星通信线束中；二是线束与车体形成的环路会作为天线效应对外辐射共模噪声，同时也会拾取空间电磁干扰。此外，连接器接触不良或屏蔽层搭接不完善会进一步恶化系统的传导发射和辐射发射性能。</w:t>
      </w:r>
    </w:p>
    <w:p w14:paraId="25F8BADD">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kern w:val="2"/>
          <w:sz w:val="24"/>
          <w:szCs w:val="24"/>
          <w:lang w:val="en-US" w:eastAsia="zh-CN" w:bidi="ar-SA"/>
        </w:rPr>
        <w:t>针对</w:t>
      </w:r>
      <w:r>
        <w:rPr>
          <w:rFonts w:hint="default" w:ascii="Times New Roman" w:hAnsi="Times New Roman" w:eastAsia="宋体" w:cs="Times New Roman"/>
          <w:kern w:val="2"/>
          <w:sz w:val="24"/>
          <w:szCs w:val="24"/>
          <w:lang w:val="en-US" w:eastAsia="zh-CN" w:bidi="ar-SA"/>
        </w:rPr>
        <w:t>耦合干扰</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线束通过感性/容性耦合传染噪声</w:t>
      </w:r>
      <w:r>
        <w:rPr>
          <w:rFonts w:hint="eastAsia" w:ascii="Times New Roman" w:hAnsi="Times New Roman" w:eastAsia="宋体" w:cs="Times New Roman"/>
          <w:kern w:val="2"/>
          <w:sz w:val="24"/>
          <w:szCs w:val="24"/>
          <w:lang w:val="en-US" w:eastAsia="zh-CN" w:bidi="ar-SA"/>
        </w:rPr>
        <w:t>以及</w:t>
      </w:r>
      <w:r>
        <w:rPr>
          <w:rFonts w:hint="default" w:ascii="Times New Roman" w:hAnsi="Times New Roman" w:eastAsia="宋体" w:cs="Times New Roman"/>
          <w:kern w:val="2"/>
          <w:sz w:val="24"/>
          <w:szCs w:val="24"/>
          <w:lang w:val="en-US" w:eastAsia="zh-CN" w:bidi="ar-SA"/>
        </w:rPr>
        <w:t>线束环路拾取/辐射噪</w:t>
      </w:r>
      <w:r>
        <w:rPr>
          <w:rFonts w:hint="default" w:ascii="Times New Roman" w:hAnsi="Times New Roman" w:eastAsia="宋体" w:cs="Times New Roman"/>
          <w:sz w:val="24"/>
          <w:lang w:val="en-US" w:eastAsia="zh-CN"/>
        </w:rPr>
        <w:t>声</w:t>
      </w:r>
      <w:r>
        <w:rPr>
          <w:rFonts w:hint="eastAsia" w:ascii="Times New Roman" w:hAnsi="Times New Roman" w:eastAsia="宋体" w:cs="Times New Roman"/>
          <w:sz w:val="24"/>
          <w:lang w:val="en-US" w:eastAsia="zh-CN"/>
        </w:rPr>
        <w:t>，《标准》中在除电源线外的导线电瞬态传导抗扰度 (9.5.1)部分也作出了试验要求：</w:t>
      </w:r>
    </w:p>
    <w:p w14:paraId="1417FDFF">
      <w:pPr>
        <w:numPr>
          <w:ilvl w:val="0"/>
          <w:numId w:val="0"/>
        </w:numPr>
        <w:spacing w:line="360" w:lineRule="auto"/>
        <w:ind w:firstLine="420" w:firstLineChars="200"/>
      </w:pPr>
      <w:r>
        <w:drawing>
          <wp:inline distT="0" distB="0" distL="114300" distR="114300">
            <wp:extent cx="5268595" cy="1517650"/>
            <wp:effectExtent l="0" t="0" r="8255"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8595" cy="1517650"/>
                    </a:xfrm>
                    <a:prstGeom prst="rect">
                      <a:avLst/>
                    </a:prstGeom>
                    <a:noFill/>
                    <a:ln>
                      <a:noFill/>
                    </a:ln>
                  </pic:spPr>
                </pic:pic>
              </a:graphicData>
            </a:graphic>
          </wp:inline>
        </w:drawing>
      </w:r>
    </w:p>
    <w:p w14:paraId="4EDDF9B1">
      <w:pPr>
        <w:numPr>
          <w:ilvl w:val="0"/>
          <w:numId w:val="0"/>
        </w:numPr>
        <w:spacing w:line="360" w:lineRule="auto"/>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此测试项目模拟了线束在实际车辆环境中面临的两大耦合干扰：</w:t>
      </w:r>
      <w:r>
        <w:rPr>
          <w:rFonts w:hint="default" w:ascii="Times New Roman" w:hAnsi="Times New Roman" w:eastAsia="宋体" w:cs="Times New Roman"/>
          <w:sz w:val="24"/>
          <w:lang w:val="en-US" w:eastAsia="zh-CN"/>
        </w:rPr>
        <w:t>容性耦合（DCC/CCC方法）和感性耦合（ICC方法）。</w:t>
      </w:r>
      <w:r>
        <w:rPr>
          <w:rFonts w:hint="eastAsia" w:ascii="Times New Roman" w:hAnsi="Times New Roman" w:eastAsia="宋体" w:cs="Times New Roman"/>
          <w:sz w:val="24"/>
          <w:lang w:val="en-US" w:eastAsia="zh-CN"/>
        </w:rPr>
        <w:t>针对该问题的EMC正向设计，可以从：</w:t>
      </w:r>
      <w:r>
        <w:rPr>
          <w:rFonts w:hint="default" w:ascii="Times New Roman" w:hAnsi="Times New Roman" w:eastAsia="宋体" w:cs="Times New Roman"/>
          <w:sz w:val="24"/>
          <w:lang w:val="en-US" w:eastAsia="zh-CN"/>
        </w:rPr>
        <w:t>选用屏蔽线缆以抵御容性耦合，使用双绞线和最小化环路面积则以有效抑制感性耦合</w:t>
      </w:r>
      <w:r>
        <w:rPr>
          <w:rFonts w:hint="eastAsia" w:ascii="Times New Roman" w:hAnsi="Times New Roman" w:eastAsia="宋体" w:cs="Times New Roman"/>
          <w:sz w:val="24"/>
          <w:lang w:val="en-US" w:eastAsia="zh-CN"/>
        </w:rPr>
        <w:t>，等经典策略入手，并且要制定严格的布线规范，如源-路径-敏感体分离原则（远离干扰源线束）。</w:t>
      </w:r>
      <w:r>
        <w:rPr>
          <w:rFonts w:hint="default" w:ascii="Times New Roman" w:hAnsi="Times New Roman" w:eastAsia="宋体" w:cs="Times New Roman"/>
          <w:sz w:val="24"/>
          <w:lang w:val="en-US" w:eastAsia="zh-CN"/>
        </w:rPr>
        <w:t>这些线束设计原则正是为了</w:t>
      </w:r>
      <w:r>
        <w:rPr>
          <w:rFonts w:hint="eastAsia" w:ascii="Times New Roman" w:hAnsi="Times New Roman" w:eastAsia="宋体" w:cs="Times New Roman"/>
          <w:sz w:val="24"/>
          <w:lang w:val="en-US" w:eastAsia="zh-CN"/>
        </w:rPr>
        <w:t>解决该问题并</w:t>
      </w:r>
      <w:r>
        <w:rPr>
          <w:rFonts w:hint="default" w:ascii="Times New Roman" w:hAnsi="Times New Roman" w:eastAsia="宋体" w:cs="Times New Roman"/>
          <w:sz w:val="24"/>
          <w:lang w:val="en-US" w:eastAsia="zh-CN"/>
        </w:rPr>
        <w:t>通过此项测试。</w:t>
      </w:r>
    </w:p>
    <w:p w14:paraId="7C808894">
      <w:pPr>
        <w:pStyle w:val="12"/>
        <w:spacing w:line="360" w:lineRule="auto"/>
        <w:outlineLvl w:val="3"/>
        <w:rPr>
          <w:rFonts w:hint="eastAsia" w:ascii="Times New Roman" w:hAnsi="Times New Roman" w:eastAsia="宋体" w:cs="Times New Roman"/>
          <w:sz w:val="28"/>
          <w:lang w:val="en-US" w:eastAsia="zh-CN"/>
        </w:rPr>
      </w:pPr>
      <w:r>
        <w:rPr>
          <w:rFonts w:hint="eastAsia" w:ascii="Times New Roman" w:hAnsi="Times New Roman" w:eastAsia="宋体" w:cs="Times New Roman"/>
          <w:sz w:val="28"/>
          <w:lang w:val="en-US" w:eastAsia="zh-CN"/>
        </w:rPr>
        <w:t>3.4.3小结</w:t>
      </w:r>
    </w:p>
    <w:p w14:paraId="4506A497">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车载低轨卫星通信系统需要通过长达数米的线束与车辆电源、域控制器及天线连接。这使得线束在高频下成为了高效的天线和耦合器，极易拾取空间干扰并辐射自身噪声。</w:t>
      </w:r>
    </w:p>
    <w:p w14:paraId="1FE89424">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拥挤的车身空间内，卫星通信系统的敏感线束不可避免地需要与车辆其他大功率线束（如电机、水泵电源线）近距离并行布线。这会创造了大量的容性耦合和感性耦合机会。干扰无需通过空间辐射，即可通过线束间的“串扰”直接传导至系统内部。</w:t>
      </w:r>
    </w:p>
    <w:p w14:paraId="1B59351C">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复杂的整车布线中，信号线与回流地线环路的面积和路径难以达到理论上的最优。这导致系统存在大量意想不到的“环形天线”。这些环路会高效地拾取空间中的磁场干扰，并向外辐射共模噪声，是辐射发射和抗扰度问题的关键因素。</w:t>
      </w:r>
    </w:p>
    <w:p w14:paraId="764C60D1">
      <w:pPr>
        <w:numPr>
          <w:ilvl w:val="0"/>
          <w:numId w:val="0"/>
        </w:num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本研究方案分析了车载低轨卫星通信系统在线束布局层面可能会出现的耦合干扰问题，并基于《标准》介绍了相应的经典设计策略，为EMC正向设计提供了有力支撑。</w:t>
      </w:r>
    </w:p>
    <w:p w14:paraId="5AFC21CD">
      <w:pPr>
        <w:pStyle w:val="12"/>
        <w:spacing w:line="360" w:lineRule="auto"/>
        <w:outlineLvl w:val="1"/>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 总结</w:t>
      </w:r>
    </w:p>
    <w:p w14:paraId="39E7712F">
      <w:pPr>
        <w:numPr>
          <w:ilvl w:val="0"/>
          <w:numId w:val="0"/>
        </w:numPr>
        <w:spacing w:line="360" w:lineRule="auto"/>
        <w:ind w:leftChars="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本方案围绕车载低轨卫星通信系统</w:t>
      </w:r>
      <w:r>
        <w:rPr>
          <w:rFonts w:hint="eastAsia" w:ascii="Times New Roman" w:hAnsi="Times New Roman" w:eastAsia="宋体" w:cs="Times New Roman"/>
          <w:kern w:val="2"/>
          <w:sz w:val="24"/>
          <w:szCs w:val="24"/>
          <w:lang w:val="en-US" w:eastAsia="zh-CN" w:bidi="ar-SA"/>
        </w:rPr>
        <w:t>的特点所可能带来</w:t>
      </w:r>
      <w:r>
        <w:rPr>
          <w:rFonts w:hint="default" w:ascii="Times New Roman" w:hAnsi="Times New Roman" w:eastAsia="宋体" w:cs="Times New Roman"/>
          <w:kern w:val="2"/>
          <w:sz w:val="24"/>
          <w:szCs w:val="24"/>
          <w:lang w:val="en-US" w:eastAsia="zh-CN" w:bidi="ar-SA"/>
        </w:rPr>
        <w:t>的EMC挑战，明确了在设计初期即从源头规避和抑制电磁干扰的必要性与可行性。系统性地提出了一套覆盖系统架构、天线与射频前端、硬件平台及线束布局四个关键</w:t>
      </w:r>
      <w:r>
        <w:rPr>
          <w:rFonts w:hint="eastAsia" w:ascii="Times New Roman" w:hAnsi="Times New Roman" w:eastAsia="宋体" w:cs="Times New Roman"/>
          <w:kern w:val="2"/>
          <w:sz w:val="24"/>
          <w:szCs w:val="24"/>
          <w:lang w:val="en-US" w:eastAsia="zh-CN" w:bidi="ar-SA"/>
        </w:rPr>
        <w:t>角度</w:t>
      </w:r>
      <w:r>
        <w:rPr>
          <w:rFonts w:hint="default" w:ascii="Times New Roman" w:hAnsi="Times New Roman" w:eastAsia="宋体" w:cs="Times New Roman"/>
          <w:kern w:val="2"/>
          <w:sz w:val="24"/>
          <w:szCs w:val="24"/>
          <w:lang w:val="en-US" w:eastAsia="zh-CN" w:bidi="ar-SA"/>
        </w:rPr>
        <w:t>的EMC正向设计技术研究框架。</w:t>
      </w:r>
      <w:r>
        <w:rPr>
          <w:rFonts w:hint="eastAsia" w:ascii="Times New Roman" w:hAnsi="Times New Roman" w:eastAsia="宋体" w:cs="Times New Roman"/>
          <w:kern w:val="2"/>
          <w:sz w:val="24"/>
          <w:szCs w:val="24"/>
          <w:lang w:val="en-US" w:eastAsia="zh-CN" w:bidi="ar-SA"/>
        </w:rPr>
        <w:t>并</w:t>
      </w:r>
      <w:r>
        <w:rPr>
          <w:rFonts w:hint="default" w:ascii="Times New Roman" w:hAnsi="Times New Roman" w:eastAsia="宋体" w:cs="Times New Roman"/>
          <w:kern w:val="2"/>
          <w:sz w:val="24"/>
          <w:szCs w:val="24"/>
          <w:lang w:val="en-US" w:eastAsia="zh-CN" w:bidi="ar-SA"/>
        </w:rPr>
        <w:t>通过深入分析系统特点</w:t>
      </w:r>
      <w:r>
        <w:rPr>
          <w:rFonts w:hint="eastAsia" w:ascii="Times New Roman" w:hAnsi="Times New Roman" w:eastAsia="宋体" w:cs="Times New Roman"/>
          <w:kern w:val="2"/>
          <w:sz w:val="24"/>
          <w:szCs w:val="24"/>
          <w:lang w:val="en-US" w:eastAsia="zh-CN" w:bidi="ar-SA"/>
        </w:rPr>
        <w:t>、相关主流专利</w:t>
      </w:r>
      <w:r>
        <w:rPr>
          <w:rFonts w:hint="default" w:ascii="Times New Roman" w:hAnsi="Times New Roman" w:eastAsia="宋体" w:cs="Times New Roman"/>
          <w:kern w:val="2"/>
          <w:sz w:val="24"/>
          <w:szCs w:val="24"/>
          <w:lang w:val="en-US" w:eastAsia="zh-CN" w:bidi="ar-SA"/>
        </w:rPr>
        <w:t>与《YD/T 4517.4—2024》标准要求，</w:t>
      </w:r>
      <w:r>
        <w:rPr>
          <w:rFonts w:hint="eastAsia" w:ascii="Times New Roman" w:hAnsi="Times New Roman" w:eastAsia="宋体" w:cs="Times New Roman"/>
          <w:kern w:val="2"/>
          <w:sz w:val="24"/>
          <w:szCs w:val="24"/>
          <w:lang w:val="en-US" w:eastAsia="zh-CN" w:bidi="ar-SA"/>
        </w:rPr>
        <w:t>指出了所可能引发的EMC问题的机理，并给出了初步的正向设计策略思路与研究角度。</w:t>
      </w:r>
    </w:p>
    <w:p w14:paraId="7E678470">
      <w:pPr>
        <w:numPr>
          <w:ilvl w:val="0"/>
          <w:numId w:val="0"/>
        </w:numPr>
        <w:spacing w:line="360" w:lineRule="auto"/>
        <w:ind w:leftChars="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在系统架构层面，</w:t>
      </w:r>
      <w:r>
        <w:rPr>
          <w:rFonts w:hint="eastAsia" w:ascii="Times New Roman" w:hAnsi="Times New Roman" w:eastAsia="宋体" w:cs="Times New Roman"/>
          <w:kern w:val="2"/>
          <w:sz w:val="24"/>
          <w:szCs w:val="24"/>
          <w:lang w:val="en-US" w:eastAsia="zh-CN" w:bidi="ar-SA"/>
        </w:rPr>
        <w:t>指</w:t>
      </w:r>
      <w:r>
        <w:rPr>
          <w:rFonts w:hint="default" w:ascii="Times New Roman" w:hAnsi="Times New Roman" w:eastAsia="宋体" w:cs="Times New Roman"/>
          <w:kern w:val="2"/>
          <w:sz w:val="24"/>
          <w:szCs w:val="24"/>
          <w:lang w:val="en-US" w:eastAsia="zh-CN" w:bidi="ar-SA"/>
        </w:rPr>
        <w:t>出了</w:t>
      </w:r>
      <w:r>
        <w:rPr>
          <w:rFonts w:hint="eastAsia" w:ascii="Times New Roman" w:hAnsi="Times New Roman" w:eastAsia="宋体" w:cs="Times New Roman"/>
          <w:kern w:val="2"/>
          <w:sz w:val="24"/>
          <w:szCs w:val="24"/>
          <w:lang w:val="en-US" w:eastAsia="zh-CN" w:bidi="ar-SA"/>
        </w:rPr>
        <w:t>其</w:t>
      </w:r>
      <w:r>
        <w:rPr>
          <w:rFonts w:hint="default" w:ascii="Times New Roman" w:hAnsi="Times New Roman" w:eastAsia="宋体" w:cs="Times New Roman"/>
          <w:kern w:val="2"/>
          <w:sz w:val="24"/>
          <w:szCs w:val="24"/>
          <w:lang w:val="en-US" w:eastAsia="zh-CN" w:bidi="ar-SA"/>
        </w:rPr>
        <w:t>多射频模块</w:t>
      </w:r>
      <w:r>
        <w:rPr>
          <w:rFonts w:hint="eastAsia" w:ascii="Times New Roman" w:hAnsi="Times New Roman" w:eastAsia="宋体" w:cs="Times New Roman"/>
          <w:kern w:val="2"/>
          <w:sz w:val="24"/>
          <w:szCs w:val="24"/>
          <w:lang w:val="en-US" w:eastAsia="zh-CN" w:bidi="ar-SA"/>
        </w:rPr>
        <w:t>在狭小空间</w:t>
      </w:r>
      <w:r>
        <w:rPr>
          <w:rFonts w:hint="default" w:ascii="Times New Roman" w:hAnsi="Times New Roman" w:eastAsia="宋体" w:cs="Times New Roman"/>
          <w:kern w:val="2"/>
          <w:sz w:val="24"/>
          <w:szCs w:val="24"/>
          <w:lang w:val="en-US" w:eastAsia="zh-CN" w:bidi="ar-SA"/>
        </w:rPr>
        <w:t>共存</w:t>
      </w:r>
      <w:r>
        <w:rPr>
          <w:rFonts w:hint="eastAsia" w:ascii="Times New Roman" w:hAnsi="Times New Roman" w:eastAsia="宋体" w:cs="Times New Roman"/>
          <w:kern w:val="2"/>
          <w:sz w:val="24"/>
          <w:szCs w:val="24"/>
          <w:lang w:val="en-US" w:eastAsia="zh-CN" w:bidi="ar-SA"/>
        </w:rPr>
        <w:t>可能</w:t>
      </w:r>
      <w:r>
        <w:rPr>
          <w:rFonts w:hint="default" w:ascii="Times New Roman" w:hAnsi="Times New Roman" w:eastAsia="宋体" w:cs="Times New Roman"/>
          <w:kern w:val="2"/>
          <w:sz w:val="24"/>
          <w:szCs w:val="24"/>
          <w:lang w:val="en-US" w:eastAsia="zh-CN" w:bidi="ar-SA"/>
        </w:rPr>
        <w:t>引发的自干扰与资源冲突问题</w:t>
      </w:r>
      <w:r>
        <w:rPr>
          <w:rFonts w:hint="eastAsia" w:ascii="Times New Roman" w:hAnsi="Times New Roman" w:eastAsia="宋体" w:cs="Times New Roman"/>
          <w:kern w:val="2"/>
          <w:sz w:val="24"/>
          <w:szCs w:val="24"/>
          <w:lang w:val="en-US" w:eastAsia="zh-CN" w:bidi="ar-SA"/>
        </w:rPr>
        <w:t>，并研究了</w:t>
      </w:r>
      <w:r>
        <w:rPr>
          <w:rFonts w:hint="default" w:ascii="Times New Roman" w:hAnsi="Times New Roman" w:eastAsia="宋体" w:cs="Times New Roman"/>
          <w:kern w:val="2"/>
          <w:sz w:val="24"/>
          <w:szCs w:val="24"/>
          <w:lang w:val="en-US" w:eastAsia="zh-CN" w:bidi="ar-SA"/>
        </w:rPr>
        <w:t>时域隔离与资源调度策略</w:t>
      </w:r>
      <w:r>
        <w:rPr>
          <w:rFonts w:hint="eastAsia" w:ascii="Times New Roman" w:hAnsi="Times New Roman" w:eastAsia="宋体" w:cs="Times New Roman"/>
          <w:kern w:val="2"/>
          <w:sz w:val="24"/>
          <w:szCs w:val="24"/>
          <w:lang w:val="en-US" w:eastAsia="zh-CN" w:bidi="ar-SA"/>
        </w:rPr>
        <w:t>以进行应对，给出了EMC正向设计研究建议</w:t>
      </w:r>
      <w:r>
        <w:rPr>
          <w:rFonts w:hint="default" w:ascii="Times New Roman" w:hAnsi="Times New Roman" w:eastAsia="宋体" w:cs="Times New Roman"/>
          <w:kern w:val="2"/>
          <w:sz w:val="24"/>
          <w:szCs w:val="24"/>
          <w:lang w:val="en-US" w:eastAsia="zh-CN" w:bidi="ar-SA"/>
        </w:rPr>
        <w:t>；在天线与射频前端层面，</w:t>
      </w:r>
      <w:r>
        <w:rPr>
          <w:rFonts w:hint="eastAsia" w:ascii="Times New Roman" w:hAnsi="Times New Roman" w:eastAsia="宋体" w:cs="Times New Roman"/>
          <w:kern w:val="2"/>
          <w:sz w:val="24"/>
          <w:szCs w:val="24"/>
          <w:lang w:val="en-US" w:eastAsia="zh-CN" w:bidi="ar-SA"/>
        </w:rPr>
        <w:t>分析了其系统特点，指出了要重点关注</w:t>
      </w:r>
      <w:r>
        <w:rPr>
          <w:rFonts w:hint="default" w:ascii="Times New Roman" w:hAnsi="Times New Roman" w:eastAsia="宋体" w:cs="Times New Roman"/>
          <w:kern w:val="2"/>
          <w:sz w:val="24"/>
          <w:szCs w:val="24"/>
          <w:lang w:val="en-US" w:eastAsia="zh-CN" w:bidi="ar-SA"/>
        </w:rPr>
        <w:t>抑制辐射发射与提升辐射抗扰度方面</w:t>
      </w:r>
      <w:r>
        <w:rPr>
          <w:rFonts w:hint="eastAsia" w:ascii="Times New Roman" w:hAnsi="Times New Roman" w:eastAsia="宋体" w:cs="Times New Roman"/>
          <w:kern w:val="2"/>
          <w:sz w:val="24"/>
          <w:szCs w:val="24"/>
          <w:lang w:val="en-US" w:eastAsia="zh-CN" w:bidi="ar-SA"/>
        </w:rPr>
        <w:t>，在EMC正向设计研究方面</w:t>
      </w:r>
      <w:r>
        <w:rPr>
          <w:rFonts w:hint="default" w:ascii="Times New Roman" w:hAnsi="Times New Roman" w:eastAsia="宋体" w:cs="Times New Roman"/>
          <w:kern w:val="2"/>
          <w:sz w:val="24"/>
          <w:szCs w:val="24"/>
          <w:lang w:val="en-US" w:eastAsia="zh-CN" w:bidi="ar-SA"/>
        </w:rPr>
        <w:t>强调了波束赋形、射频滤波与天线布局优化等技术；在硬件平台层面，聚焦于屏蔽设计、PCB布局优化与专用电源管理模块，以降低数字电路对射频电路的干扰并抑制噪声外泄；在线束布局层面，</w:t>
      </w:r>
      <w:r>
        <w:rPr>
          <w:rFonts w:hint="eastAsia" w:ascii="Times New Roman" w:hAnsi="Times New Roman" w:eastAsia="宋体" w:cs="Times New Roman"/>
          <w:kern w:val="2"/>
          <w:sz w:val="24"/>
          <w:szCs w:val="24"/>
          <w:lang w:val="en-US" w:eastAsia="zh-CN" w:bidi="ar-SA"/>
        </w:rPr>
        <w:t>强调了其耦合干扰的特点，并提出</w:t>
      </w:r>
      <w:r>
        <w:rPr>
          <w:rFonts w:hint="default" w:ascii="Times New Roman" w:hAnsi="Times New Roman" w:eastAsia="宋体" w:cs="Times New Roman"/>
          <w:kern w:val="2"/>
          <w:sz w:val="24"/>
          <w:szCs w:val="24"/>
          <w:lang w:val="en-US" w:eastAsia="zh-CN" w:bidi="ar-SA"/>
        </w:rPr>
        <w:t>屏蔽、双绞与布线规范等经典EMC措施</w:t>
      </w:r>
      <w:r>
        <w:rPr>
          <w:rFonts w:hint="eastAsia" w:ascii="Times New Roman" w:hAnsi="Times New Roman" w:eastAsia="宋体" w:cs="Times New Roman"/>
          <w:kern w:val="2"/>
          <w:sz w:val="24"/>
          <w:szCs w:val="24"/>
          <w:lang w:val="en-US" w:eastAsia="zh-CN" w:bidi="ar-SA"/>
        </w:rPr>
        <w:t>建议</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以从</w:t>
      </w:r>
      <w:r>
        <w:rPr>
          <w:rFonts w:hint="default" w:ascii="Times New Roman" w:hAnsi="Times New Roman" w:eastAsia="宋体" w:cs="Times New Roman"/>
          <w:kern w:val="2"/>
          <w:sz w:val="24"/>
          <w:szCs w:val="24"/>
          <w:lang w:val="en-US" w:eastAsia="zh-CN" w:bidi="ar-SA"/>
        </w:rPr>
        <w:t>有效抑制耦合干扰与环路辐射</w:t>
      </w:r>
      <w:r>
        <w:rPr>
          <w:rFonts w:hint="eastAsia" w:ascii="Times New Roman" w:hAnsi="Times New Roman" w:eastAsia="宋体" w:cs="Times New Roman"/>
          <w:kern w:val="2"/>
          <w:sz w:val="24"/>
          <w:szCs w:val="24"/>
          <w:lang w:val="en-US" w:eastAsia="zh-CN" w:bidi="ar-SA"/>
        </w:rPr>
        <w:t>方面进行EMC正向设计</w:t>
      </w:r>
      <w:r>
        <w:rPr>
          <w:rFonts w:hint="default" w:ascii="Times New Roman" w:hAnsi="Times New Roman" w:eastAsia="宋体" w:cs="Times New Roman"/>
          <w:kern w:val="2"/>
          <w:sz w:val="24"/>
          <w:szCs w:val="24"/>
          <w:lang w:val="en-US" w:eastAsia="zh-CN" w:bidi="ar-SA"/>
        </w:rPr>
        <w:t>。</w:t>
      </w:r>
    </w:p>
    <w:p w14:paraId="4EB34405">
      <w:pPr>
        <w:numPr>
          <w:ilvl w:val="0"/>
          <w:numId w:val="0"/>
        </w:numPr>
        <w:spacing w:line="360" w:lineRule="auto"/>
        <w:ind w:leftChars="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本方案</w:t>
      </w:r>
      <w:r>
        <w:rPr>
          <w:rFonts w:hint="eastAsia" w:ascii="Times New Roman" w:hAnsi="Times New Roman" w:eastAsia="宋体" w:cs="Times New Roman"/>
          <w:kern w:val="2"/>
          <w:sz w:val="24"/>
          <w:szCs w:val="24"/>
          <w:lang w:val="en-US" w:eastAsia="zh-CN" w:bidi="ar-SA"/>
        </w:rPr>
        <w:t>探究</w:t>
      </w:r>
      <w:r>
        <w:rPr>
          <w:rFonts w:hint="default" w:ascii="Times New Roman" w:hAnsi="Times New Roman" w:eastAsia="宋体" w:cs="Times New Roman"/>
          <w:kern w:val="2"/>
          <w:sz w:val="24"/>
          <w:szCs w:val="24"/>
          <w:lang w:val="en-US" w:eastAsia="zh-CN" w:bidi="ar-SA"/>
        </w:rPr>
        <w:t>主流专利技术、经典EMC设计与行业标准，</w:t>
      </w:r>
      <w:r>
        <w:rPr>
          <w:rFonts w:hint="eastAsia" w:ascii="Times New Roman" w:hAnsi="Times New Roman" w:eastAsia="宋体" w:cs="Times New Roman"/>
          <w:kern w:val="2"/>
          <w:sz w:val="24"/>
          <w:szCs w:val="24"/>
          <w:lang w:val="en-US" w:eastAsia="zh-CN" w:bidi="ar-SA"/>
        </w:rPr>
        <w:t>分析了车载低轨卫星通信系统的特点，并基于此给出EMC正向设计研究方案</w:t>
      </w:r>
      <w:r>
        <w:rPr>
          <w:rFonts w:hint="default" w:ascii="Times New Roman" w:hAnsi="Times New Roman" w:eastAsia="宋体" w:cs="Times New Roman"/>
          <w:kern w:val="2"/>
          <w:sz w:val="24"/>
          <w:szCs w:val="24"/>
          <w:lang w:val="en-US" w:eastAsia="zh-CN" w:bidi="ar-SA"/>
        </w:rPr>
        <w:t>，为实现车载低轨卫星通信系统在高干扰车载环境中稳定、可靠运行提供了切实可行的技术路径与研究基础。未来</w:t>
      </w:r>
      <w:r>
        <w:rPr>
          <w:rFonts w:hint="eastAsia" w:ascii="Times New Roman" w:hAnsi="Times New Roman" w:eastAsia="宋体" w:cs="Times New Roman"/>
          <w:kern w:val="2"/>
          <w:sz w:val="24"/>
          <w:szCs w:val="24"/>
          <w:lang w:val="en-US" w:eastAsia="zh-CN" w:bidi="ar-SA"/>
        </w:rPr>
        <w:t>进行的EMC正向设计，可在</w:t>
      </w:r>
      <w:r>
        <w:rPr>
          <w:rFonts w:hint="default" w:ascii="Times New Roman" w:hAnsi="Times New Roman" w:eastAsia="宋体" w:cs="Times New Roman"/>
          <w:kern w:val="2"/>
          <w:sz w:val="24"/>
          <w:szCs w:val="24"/>
          <w:lang w:val="en-US" w:eastAsia="zh-CN" w:bidi="ar-SA"/>
        </w:rPr>
        <w:t>本框架基础上持续优化与扩展，为行业EMC设计与验证提供长效支撑。</w:t>
      </w:r>
    </w:p>
    <w:p w14:paraId="26287E3B">
      <w:pPr>
        <w:pStyle w:val="12"/>
        <w:spacing w:line="360" w:lineRule="auto"/>
        <w:outlineLvl w:val="1"/>
        <w:rPr>
          <w:rFonts w:hint="eastAsia" w:ascii="Times New Roman" w:hAnsi="Times New Roman" w:eastAsia="宋体"/>
          <w:lang w:val="en-US" w:eastAsia="zh-CN"/>
        </w:rPr>
      </w:pPr>
      <w:r>
        <w:rPr>
          <w:rFonts w:hint="eastAsia" w:ascii="Times New Roman" w:hAnsi="Times New Roman" w:eastAsia="宋体"/>
          <w:lang w:val="en-US" w:eastAsia="zh-CN"/>
        </w:rPr>
        <w:t>参考文献</w:t>
      </w:r>
    </w:p>
    <w:p w14:paraId="183FA270">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车联网通信设备电磁兼容性要求和测量方法 第4部分：车载卫星通信设备:YD/T 4517.4-2024[S]. 2024.</w:t>
      </w:r>
    </w:p>
    <w:p w14:paraId="21498C7A">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中国第一汽车股份有限公司. 车辆卫星定位的控制方法、装置、设备、存储介质及产品:CN202410892217.1[P]. 2024-11-22.</w:t>
      </w:r>
    </w:p>
    <w:p w14:paraId="4E81A39F">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一汽解放汽车有限公司. 基于卫星通信的车联网数据压缩方法、装置、设备和介质:CN202510556745.4[P]. 2025-07-18.</w:t>
      </w:r>
    </w:p>
    <w:p w14:paraId="12ECBB1D">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lang w:val="en-US" w:eastAsia="zh-CN"/>
        </w:rPr>
        <w:t xml:space="preserve"> </w:t>
      </w:r>
      <w:r>
        <w:rPr>
          <w:rFonts w:hint="eastAsia" w:ascii="Times New Roman" w:hAnsi="Times New Roman" w:eastAsia="宋体" w:cs="Times New Roman"/>
          <w:sz w:val="24"/>
          <w:szCs w:val="20"/>
        </w:rPr>
        <w:t>浙江吉利汽车研究院有限公司,浙江吉利控股集团有限公司. 一种行驶行为的确定方法、装置、车辆及存储介质:CN201911354166.2[P]. 2020-04-24.</w:t>
      </w:r>
    </w:p>
    <w:p w14:paraId="4AAC84C1">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浙江吉利控股集团有限公司,杭州吉利汽车研究开发有限公司. 车辆卫星通讯方法、装置、设备及计算机可读存储介质:CN202210705101.3[P]. 2022-09-27. </w:t>
      </w:r>
    </w:p>
    <w:p w14:paraId="184F3DB0">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 xml:space="preserve">吉利科技集团有限公司,浙江极氪智能科技有限公司,浙江吉利控股集团有限公司. 车载卫星通信系统及车辆:CN202111272674.3[P]. 2022-03-18. </w:t>
      </w:r>
    </w:p>
    <w:p w14:paraId="228FE298">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浙江极氪智能科技有限公司,浙江吉利控股集团有限公司. 车辆通信方法、装置、终端设备以及存储介质:CN202411085031.1[P]. 2024-10-08.</w:t>
      </w:r>
    </w:p>
    <w:p w14:paraId="2717DBE7">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浙江极氪智能科技有限公司,浙江吉利控股集团有限公司. 基于卫星的通信方法、装置、设备及存储介质:CN202410300178.1[P]. 2024-06-14.</w:t>
      </w:r>
    </w:p>
    <w:p w14:paraId="29B0A610">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赛力斯汽车有限公司. 车载卫星通信系统收发能力下线检测方法、装置、设备及介质:CN202510276892.6[P]. 2025-06-06.</w:t>
      </w:r>
    </w:p>
    <w:p w14:paraId="540D8F9E">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赛力斯汽车有限公司. 车载卫星通信方法、装置、设备及存储介质:CN202411493441.X[P]. 2025-01-24.</w:t>
      </w:r>
    </w:p>
    <w:p w14:paraId="1CEBC020">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default" w:ascii="Times New Roman" w:hAnsi="Times New Roman" w:eastAsia="宋体" w:cs="Times New Roman"/>
          <w:sz w:val="24"/>
          <w:szCs w:val="20"/>
          <w:lang w:val="en-US" w:eastAsia="zh-CN"/>
        </w:rPr>
        <w:t>比亚迪股份有限公司. 车辆卫星天线角度调整方法、装置和车辆:CN202411755347.7[P]. 2025-04-11.</w:t>
      </w:r>
    </w:p>
    <w:p w14:paraId="63E519D8">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比亚迪股份有限公司. 车载卫星通信系统、方法、设备、存储介质、程序产品和车辆:CN202411150513.0[P]. 2024-12-27.</w:t>
      </w:r>
    </w:p>
    <w:p w14:paraId="60F5957F">
      <w:pPr>
        <w:numPr>
          <w:ilvl w:val="0"/>
          <w:numId w:val="4"/>
        </w:numPr>
        <w:spacing w:line="360" w:lineRule="auto"/>
        <w:ind w:left="442" w:hanging="442"/>
        <w:jc w:val="left"/>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 xml:space="preserve">比亚迪股份有限公司. 卫星通信方法、存储介质、控制器及车辆:CN202510901536.9[P]. 2025-10-17. </w:t>
      </w:r>
    </w:p>
    <w:p w14:paraId="7426CBA3">
      <w:pPr>
        <w:numPr>
          <w:ilvl w:val="0"/>
          <w:numId w:val="4"/>
        </w:numPr>
        <w:spacing w:line="360" w:lineRule="auto"/>
        <w:ind w:left="442" w:hanging="442"/>
        <w:jc w:val="left"/>
        <w:rPr>
          <w:rFonts w:hint="eastAsia" w:ascii="Times New Roman" w:hAnsi="Times New Roman" w:eastAsia="宋体" w:cs="Times New Roman"/>
          <w:sz w:val="24"/>
          <w:szCs w:val="20"/>
        </w:rPr>
      </w:pPr>
      <w:r>
        <w:rPr>
          <w:rFonts w:hint="default" w:ascii="Times New Roman" w:hAnsi="Times New Roman" w:eastAsia="宋体" w:cs="Times New Roman"/>
          <w:sz w:val="24"/>
          <w:szCs w:val="20"/>
          <w:lang w:val="en-US" w:eastAsia="zh-CN"/>
        </w:rPr>
        <w:t>重庆长安科技有限责任公司. 卫星通讯终端及车辆:CN202421143420.0[P]. 2025-01-28.</w:t>
      </w:r>
    </w:p>
    <w:p w14:paraId="7CD4BFDE">
      <w:pPr>
        <w:numPr>
          <w:ilvl w:val="0"/>
          <w:numId w:val="4"/>
        </w:numPr>
        <w:spacing w:line="360" w:lineRule="auto"/>
        <w:ind w:left="442" w:hanging="442"/>
        <w:jc w:val="left"/>
        <w:rPr>
          <w:rFonts w:hint="default" w:ascii="Times New Roman" w:hAnsi="Times New Roman" w:eastAsia="宋体" w:cs="Times New Roman"/>
          <w:sz w:val="24"/>
          <w:szCs w:val="20"/>
          <w:lang w:val="en-US" w:eastAsia="zh-CN"/>
        </w:rPr>
      </w:pPr>
      <w:r>
        <w:rPr>
          <w:rFonts w:hint="eastAsia" w:ascii="Times New Roman" w:hAnsi="Times New Roman" w:eastAsia="宋体" w:cs="Times New Roman"/>
          <w:sz w:val="24"/>
          <w:szCs w:val="20"/>
        </w:rPr>
        <w:t>重庆长安汽车股份有限公司. 基于低轨卫星的车载通信方法、系统及车载控制设备:CN202311559261.2[P]. 2025-05-23.</w:t>
      </w:r>
    </w:p>
    <w:p w14:paraId="211C00A6">
      <w:pPr>
        <w:numPr>
          <w:ilvl w:val="0"/>
          <w:numId w:val="0"/>
        </w:numPr>
        <w:spacing w:line="360" w:lineRule="auto"/>
        <w:rPr>
          <w:rFonts w:hint="default" w:ascii="Times New Roman" w:hAnsi="Times New Roman" w:eastAsia="宋体" w:cs="Times New Roman"/>
          <w:kern w:val="2"/>
          <w:sz w:val="24"/>
          <w:szCs w:val="24"/>
          <w:lang w:val="en-US" w:eastAsia="zh-CN" w:bidi="ar-SA"/>
        </w:rPr>
      </w:pPr>
    </w:p>
    <w:p w14:paraId="4A74AC60">
      <w:pPr>
        <w:numPr>
          <w:ilvl w:val="0"/>
          <w:numId w:val="0"/>
        </w:numPr>
        <w:spacing w:line="360" w:lineRule="auto"/>
        <w:ind w:leftChars="0"/>
        <w:rPr>
          <w:rFonts w:hint="default" w:ascii="Times New Roman" w:hAnsi="Times New Roman" w:eastAsia="宋体" w:cs="Times New Roman"/>
          <w:sz w:val="24"/>
          <w:lang w:val="en-US" w:eastAsia="zh-CN"/>
        </w:rPr>
      </w:pPr>
    </w:p>
    <w:p w14:paraId="28BB1B32">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173002BE">
      <w:pPr>
        <w:numPr>
          <w:ilvl w:val="0"/>
          <w:numId w:val="0"/>
        </w:numPr>
        <w:spacing w:line="360" w:lineRule="auto"/>
        <w:ind w:firstLine="420" w:firstLineChars="200"/>
        <w:rPr>
          <w:rFonts w:hint="default"/>
          <w:lang w:val="en-US" w:eastAsia="zh-CN"/>
        </w:rPr>
      </w:pPr>
    </w:p>
    <w:p w14:paraId="2D36B3A5">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61F48850">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314A40CC">
      <w:pPr>
        <w:rPr>
          <w:rFonts w:hint="eastAsia"/>
        </w:rPr>
      </w:pPr>
    </w:p>
    <w:p w14:paraId="6A3CF810">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4D2F59F0">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3EED97A3">
      <w:pPr>
        <w:numPr>
          <w:ilvl w:val="0"/>
          <w:numId w:val="0"/>
        </w:numPr>
        <w:spacing w:line="360" w:lineRule="auto"/>
        <w:rPr>
          <w:rFonts w:hint="default" w:ascii="Times New Roman" w:hAnsi="Times New Roman" w:eastAsia="宋体" w:cs="Times New Roman"/>
          <w:sz w:val="24"/>
          <w:lang w:val="en-US" w:eastAsia="zh-CN"/>
        </w:rPr>
      </w:pPr>
    </w:p>
    <w:p w14:paraId="3BCECAF7">
      <w:pPr>
        <w:numPr>
          <w:ilvl w:val="0"/>
          <w:numId w:val="0"/>
        </w:numPr>
        <w:spacing w:line="360" w:lineRule="auto"/>
        <w:ind w:firstLine="480" w:firstLineChars="200"/>
        <w:rPr>
          <w:rFonts w:hint="default" w:ascii="Times New Roman" w:hAnsi="Times New Roman" w:eastAsia="宋体" w:cs="Times New Roman"/>
          <w:sz w:val="24"/>
          <w:lang w:val="en-US" w:eastAsia="zh-CN"/>
        </w:rPr>
      </w:pPr>
    </w:p>
    <w:p w14:paraId="5D043F7B">
      <w:pPr>
        <w:spacing w:line="360" w:lineRule="auto"/>
        <w:ind w:firstLine="480" w:firstLineChars="200"/>
        <w:rPr>
          <w:rFonts w:hint="eastAsia" w:ascii="Times New Roman" w:hAnsi="Times New Roman" w:eastAsia="宋体" w:cs="Times New Roman"/>
          <w:sz w:val="24"/>
          <w:lang w:val="en-US" w:eastAsia="zh-CN"/>
        </w:rPr>
      </w:pPr>
    </w:p>
    <w:p w14:paraId="32C33A4B">
      <w:pPr>
        <w:numPr>
          <w:ilvl w:val="0"/>
          <w:numId w:val="0"/>
        </w:numPr>
        <w:ind w:firstLine="480" w:firstLineChars="200"/>
        <w:rPr>
          <w:rFonts w:hint="default" w:ascii="Segoe UI" w:hAnsi="Segoe UI" w:eastAsia="Segoe UI" w:cs="Segoe UI"/>
          <w:i w:val="0"/>
          <w:iCs w:val="0"/>
          <w:caps w:val="0"/>
          <w:color w:val="0F1115"/>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CF51A3"/>
    <w:multiLevelType w:val="singleLevel"/>
    <w:tmpl w:val="E2CF51A3"/>
    <w:lvl w:ilvl="0" w:tentative="0">
      <w:start w:val="1"/>
      <w:numFmt w:val="decimal"/>
      <w:suff w:val="nothing"/>
      <w:lvlText w:val="（%1）"/>
      <w:lvlJc w:val="left"/>
    </w:lvl>
  </w:abstractNum>
  <w:abstractNum w:abstractNumId="1">
    <w:nsid w:val="FA0F9406"/>
    <w:multiLevelType w:val="singleLevel"/>
    <w:tmpl w:val="FA0F9406"/>
    <w:lvl w:ilvl="0" w:tentative="0">
      <w:start w:val="1"/>
      <w:numFmt w:val="decimal"/>
      <w:suff w:val="nothing"/>
      <w:lvlText w:val="（%1）"/>
      <w:lvlJc w:val="left"/>
    </w:lvl>
  </w:abstractNum>
  <w:abstractNum w:abstractNumId="2">
    <w:nsid w:val="42160190"/>
    <w:multiLevelType w:val="multilevel"/>
    <w:tmpl w:val="42160190"/>
    <w:lvl w:ilvl="0" w:tentative="0">
      <w:start w:val="1"/>
      <w:numFmt w:val="decimal"/>
      <w:suff w:val="space"/>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6FA4CB80"/>
    <w:multiLevelType w:val="singleLevel"/>
    <w:tmpl w:val="6FA4CB80"/>
    <w:lvl w:ilvl="0" w:tentative="0">
      <w:start w:val="1"/>
      <w:numFmt w:val="decimal"/>
      <w:suff w:val="nothing"/>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1322"/>
    <w:rsid w:val="00ED3BD8"/>
    <w:rsid w:val="01664743"/>
    <w:rsid w:val="017C3B05"/>
    <w:rsid w:val="01EF572E"/>
    <w:rsid w:val="02106493"/>
    <w:rsid w:val="0261786D"/>
    <w:rsid w:val="02D440E6"/>
    <w:rsid w:val="02D60E35"/>
    <w:rsid w:val="02E958D7"/>
    <w:rsid w:val="031B324A"/>
    <w:rsid w:val="041575B8"/>
    <w:rsid w:val="043B1FC0"/>
    <w:rsid w:val="046917C8"/>
    <w:rsid w:val="050D4849"/>
    <w:rsid w:val="053F7ABE"/>
    <w:rsid w:val="054E7A3A"/>
    <w:rsid w:val="05AC0BCF"/>
    <w:rsid w:val="05D75C71"/>
    <w:rsid w:val="065232EA"/>
    <w:rsid w:val="06D5377A"/>
    <w:rsid w:val="091E4CE4"/>
    <w:rsid w:val="09B174F4"/>
    <w:rsid w:val="09BE0A46"/>
    <w:rsid w:val="09DE12BD"/>
    <w:rsid w:val="09EB63D4"/>
    <w:rsid w:val="0A2D5046"/>
    <w:rsid w:val="0A5B7E05"/>
    <w:rsid w:val="0A9A411C"/>
    <w:rsid w:val="0AC86CBC"/>
    <w:rsid w:val="0AF03680"/>
    <w:rsid w:val="0B1C53C3"/>
    <w:rsid w:val="0B4E159C"/>
    <w:rsid w:val="0B62438A"/>
    <w:rsid w:val="0BD504A5"/>
    <w:rsid w:val="0C637445"/>
    <w:rsid w:val="0C6A11AF"/>
    <w:rsid w:val="0CD43E9E"/>
    <w:rsid w:val="0CE7345E"/>
    <w:rsid w:val="0DEC3163"/>
    <w:rsid w:val="0E6C2A8F"/>
    <w:rsid w:val="0ED609C5"/>
    <w:rsid w:val="0F615EBD"/>
    <w:rsid w:val="0F6A45D8"/>
    <w:rsid w:val="0FB564AE"/>
    <w:rsid w:val="10281712"/>
    <w:rsid w:val="10EF7717"/>
    <w:rsid w:val="10F144B7"/>
    <w:rsid w:val="110348F8"/>
    <w:rsid w:val="1104094D"/>
    <w:rsid w:val="115E180D"/>
    <w:rsid w:val="116A280D"/>
    <w:rsid w:val="11DF2E25"/>
    <w:rsid w:val="12160095"/>
    <w:rsid w:val="12B72C8C"/>
    <w:rsid w:val="12F421BC"/>
    <w:rsid w:val="13241AA0"/>
    <w:rsid w:val="133E49FA"/>
    <w:rsid w:val="137A691E"/>
    <w:rsid w:val="13AC219A"/>
    <w:rsid w:val="13BE4A65"/>
    <w:rsid w:val="142976A3"/>
    <w:rsid w:val="14BE5D79"/>
    <w:rsid w:val="14FC0436"/>
    <w:rsid w:val="1519674C"/>
    <w:rsid w:val="15A755DB"/>
    <w:rsid w:val="15BD1974"/>
    <w:rsid w:val="15E56205"/>
    <w:rsid w:val="162224A9"/>
    <w:rsid w:val="16292168"/>
    <w:rsid w:val="164D719B"/>
    <w:rsid w:val="1698119C"/>
    <w:rsid w:val="17163ADA"/>
    <w:rsid w:val="173C6977"/>
    <w:rsid w:val="175B58E8"/>
    <w:rsid w:val="181635BD"/>
    <w:rsid w:val="183807C2"/>
    <w:rsid w:val="183869EB"/>
    <w:rsid w:val="189F071C"/>
    <w:rsid w:val="18F246DF"/>
    <w:rsid w:val="18FA7A2F"/>
    <w:rsid w:val="196A4DA8"/>
    <w:rsid w:val="19855C98"/>
    <w:rsid w:val="19885571"/>
    <w:rsid w:val="1998697F"/>
    <w:rsid w:val="1A1F0E4F"/>
    <w:rsid w:val="1AD720B2"/>
    <w:rsid w:val="1B2D6E1C"/>
    <w:rsid w:val="1B3939DF"/>
    <w:rsid w:val="1B810257"/>
    <w:rsid w:val="1BB569EE"/>
    <w:rsid w:val="1BBA4498"/>
    <w:rsid w:val="1C2B7514"/>
    <w:rsid w:val="1C41355E"/>
    <w:rsid w:val="1C951971"/>
    <w:rsid w:val="1CC47F14"/>
    <w:rsid w:val="1DBE3491"/>
    <w:rsid w:val="1DCF4839"/>
    <w:rsid w:val="1E6E167D"/>
    <w:rsid w:val="1E7545E7"/>
    <w:rsid w:val="1EE2069D"/>
    <w:rsid w:val="1F363CFA"/>
    <w:rsid w:val="1F394904"/>
    <w:rsid w:val="1FB64729"/>
    <w:rsid w:val="1FC837BA"/>
    <w:rsid w:val="1FEF48D2"/>
    <w:rsid w:val="203828C7"/>
    <w:rsid w:val="20887022"/>
    <w:rsid w:val="210D3C3C"/>
    <w:rsid w:val="211C0E60"/>
    <w:rsid w:val="21341EF9"/>
    <w:rsid w:val="21A223BE"/>
    <w:rsid w:val="21A24B45"/>
    <w:rsid w:val="21FB3EDE"/>
    <w:rsid w:val="22251172"/>
    <w:rsid w:val="229C6999"/>
    <w:rsid w:val="22FA4E66"/>
    <w:rsid w:val="233D3949"/>
    <w:rsid w:val="23986B8E"/>
    <w:rsid w:val="24593831"/>
    <w:rsid w:val="2494317B"/>
    <w:rsid w:val="24A0493A"/>
    <w:rsid w:val="24B14D99"/>
    <w:rsid w:val="24D972EF"/>
    <w:rsid w:val="253316A2"/>
    <w:rsid w:val="25424D13"/>
    <w:rsid w:val="25777D91"/>
    <w:rsid w:val="25B508B9"/>
    <w:rsid w:val="25E93665"/>
    <w:rsid w:val="267E0E7B"/>
    <w:rsid w:val="26904C78"/>
    <w:rsid w:val="26914E82"/>
    <w:rsid w:val="26935AE1"/>
    <w:rsid w:val="26EC7638"/>
    <w:rsid w:val="286D07E3"/>
    <w:rsid w:val="28757437"/>
    <w:rsid w:val="28AC2F9C"/>
    <w:rsid w:val="28D85108"/>
    <w:rsid w:val="290A0F1C"/>
    <w:rsid w:val="292157B7"/>
    <w:rsid w:val="296B02BB"/>
    <w:rsid w:val="29AC6EB1"/>
    <w:rsid w:val="29C5178E"/>
    <w:rsid w:val="29D81C33"/>
    <w:rsid w:val="2A5B02ED"/>
    <w:rsid w:val="2A5C2F0E"/>
    <w:rsid w:val="2A930A9D"/>
    <w:rsid w:val="2AE92F72"/>
    <w:rsid w:val="2AF74609"/>
    <w:rsid w:val="2B52641F"/>
    <w:rsid w:val="2B6B1864"/>
    <w:rsid w:val="2B74146E"/>
    <w:rsid w:val="2B9D6077"/>
    <w:rsid w:val="2BCF2710"/>
    <w:rsid w:val="2BEC4BD6"/>
    <w:rsid w:val="2C0B2FE1"/>
    <w:rsid w:val="2C3C763E"/>
    <w:rsid w:val="2C92725E"/>
    <w:rsid w:val="2CA156F3"/>
    <w:rsid w:val="2CA90EA9"/>
    <w:rsid w:val="2CC82C80"/>
    <w:rsid w:val="2CFB590C"/>
    <w:rsid w:val="2D0977C4"/>
    <w:rsid w:val="2D250602"/>
    <w:rsid w:val="2D560C9E"/>
    <w:rsid w:val="2D962D7E"/>
    <w:rsid w:val="2DFF748C"/>
    <w:rsid w:val="2EAF227F"/>
    <w:rsid w:val="2F0C5F45"/>
    <w:rsid w:val="2F690344"/>
    <w:rsid w:val="2F871743"/>
    <w:rsid w:val="30CE1EF5"/>
    <w:rsid w:val="313F2EFC"/>
    <w:rsid w:val="31650830"/>
    <w:rsid w:val="31741628"/>
    <w:rsid w:val="31C74874"/>
    <w:rsid w:val="31CE1B07"/>
    <w:rsid w:val="31E91330"/>
    <w:rsid w:val="31F2575D"/>
    <w:rsid w:val="32A65188"/>
    <w:rsid w:val="32F72511"/>
    <w:rsid w:val="336F2B30"/>
    <w:rsid w:val="337D6587"/>
    <w:rsid w:val="34925EC2"/>
    <w:rsid w:val="34C46C64"/>
    <w:rsid w:val="350C3926"/>
    <w:rsid w:val="35217C3A"/>
    <w:rsid w:val="35DD2AFA"/>
    <w:rsid w:val="35FA63E1"/>
    <w:rsid w:val="365D7F3C"/>
    <w:rsid w:val="37054AD1"/>
    <w:rsid w:val="37CF0C47"/>
    <w:rsid w:val="392D2973"/>
    <w:rsid w:val="394E6C03"/>
    <w:rsid w:val="39623B4D"/>
    <w:rsid w:val="39E06281"/>
    <w:rsid w:val="3A5307BE"/>
    <w:rsid w:val="3A575643"/>
    <w:rsid w:val="3A7B66B0"/>
    <w:rsid w:val="3A9551C7"/>
    <w:rsid w:val="3AD155DE"/>
    <w:rsid w:val="3AE71032"/>
    <w:rsid w:val="3B742225"/>
    <w:rsid w:val="3C30365E"/>
    <w:rsid w:val="3C8943C5"/>
    <w:rsid w:val="3CFD64F3"/>
    <w:rsid w:val="3D1D0DC6"/>
    <w:rsid w:val="3DD55CB0"/>
    <w:rsid w:val="3EE37DED"/>
    <w:rsid w:val="3EEF0540"/>
    <w:rsid w:val="3FE21B2E"/>
    <w:rsid w:val="402204A3"/>
    <w:rsid w:val="40463E1D"/>
    <w:rsid w:val="404958A9"/>
    <w:rsid w:val="40537C33"/>
    <w:rsid w:val="407927B7"/>
    <w:rsid w:val="414B1C3C"/>
    <w:rsid w:val="418C651A"/>
    <w:rsid w:val="41D30465"/>
    <w:rsid w:val="42CF429C"/>
    <w:rsid w:val="43360F98"/>
    <w:rsid w:val="43484F6E"/>
    <w:rsid w:val="43741014"/>
    <w:rsid w:val="43F32881"/>
    <w:rsid w:val="4433214B"/>
    <w:rsid w:val="443B107F"/>
    <w:rsid w:val="44600328"/>
    <w:rsid w:val="447B3C2A"/>
    <w:rsid w:val="44934AAB"/>
    <w:rsid w:val="44A377A9"/>
    <w:rsid w:val="44DA57EF"/>
    <w:rsid w:val="45617167"/>
    <w:rsid w:val="45D076BA"/>
    <w:rsid w:val="47407F23"/>
    <w:rsid w:val="47541888"/>
    <w:rsid w:val="47FF5A22"/>
    <w:rsid w:val="483B1A43"/>
    <w:rsid w:val="488A12DA"/>
    <w:rsid w:val="48BB18F1"/>
    <w:rsid w:val="4910665F"/>
    <w:rsid w:val="494F4C8A"/>
    <w:rsid w:val="49656BC0"/>
    <w:rsid w:val="4A255C0F"/>
    <w:rsid w:val="4A2F66DB"/>
    <w:rsid w:val="4A8835F7"/>
    <w:rsid w:val="4AA91EEB"/>
    <w:rsid w:val="4AD84D52"/>
    <w:rsid w:val="4AF4454F"/>
    <w:rsid w:val="4B7507FF"/>
    <w:rsid w:val="4C9646F1"/>
    <w:rsid w:val="4CB571EA"/>
    <w:rsid w:val="4D500031"/>
    <w:rsid w:val="4D5D5079"/>
    <w:rsid w:val="4DB35B43"/>
    <w:rsid w:val="4DB56A07"/>
    <w:rsid w:val="4E9B6CB6"/>
    <w:rsid w:val="4EBC19EC"/>
    <w:rsid w:val="4EBE6536"/>
    <w:rsid w:val="4F1418FD"/>
    <w:rsid w:val="4F155DA1"/>
    <w:rsid w:val="4F2D3F9F"/>
    <w:rsid w:val="4F356A49"/>
    <w:rsid w:val="4F692710"/>
    <w:rsid w:val="4FA42C81"/>
    <w:rsid w:val="4FBC621D"/>
    <w:rsid w:val="503A6B6E"/>
    <w:rsid w:val="50863BA3"/>
    <w:rsid w:val="508807F5"/>
    <w:rsid w:val="51107F94"/>
    <w:rsid w:val="515B4604"/>
    <w:rsid w:val="5160707C"/>
    <w:rsid w:val="51627812"/>
    <w:rsid w:val="518915A2"/>
    <w:rsid w:val="51BC62F3"/>
    <w:rsid w:val="51DB6702"/>
    <w:rsid w:val="521D6D1B"/>
    <w:rsid w:val="52BE5550"/>
    <w:rsid w:val="52D803D6"/>
    <w:rsid w:val="52DA3F06"/>
    <w:rsid w:val="52EB4869"/>
    <w:rsid w:val="541A01A7"/>
    <w:rsid w:val="542A2224"/>
    <w:rsid w:val="54A133DF"/>
    <w:rsid w:val="55027375"/>
    <w:rsid w:val="55807CEC"/>
    <w:rsid w:val="55BD54CC"/>
    <w:rsid w:val="560962E6"/>
    <w:rsid w:val="56CF5CFB"/>
    <w:rsid w:val="572A4A40"/>
    <w:rsid w:val="57361164"/>
    <w:rsid w:val="576E3F40"/>
    <w:rsid w:val="57E27D90"/>
    <w:rsid w:val="58201313"/>
    <w:rsid w:val="583C0450"/>
    <w:rsid w:val="5897171C"/>
    <w:rsid w:val="58CD3EAB"/>
    <w:rsid w:val="59685F8C"/>
    <w:rsid w:val="59CD0471"/>
    <w:rsid w:val="59F16AAB"/>
    <w:rsid w:val="5A7D2A4C"/>
    <w:rsid w:val="5AA47504"/>
    <w:rsid w:val="5AAC1AFB"/>
    <w:rsid w:val="5ADD49A6"/>
    <w:rsid w:val="5B13515F"/>
    <w:rsid w:val="5B2A2BD4"/>
    <w:rsid w:val="5B6C254A"/>
    <w:rsid w:val="5B977B3E"/>
    <w:rsid w:val="5BD963A8"/>
    <w:rsid w:val="5BFA6656"/>
    <w:rsid w:val="5C0D4B41"/>
    <w:rsid w:val="5C2C4773"/>
    <w:rsid w:val="5C3929A3"/>
    <w:rsid w:val="5C6520CD"/>
    <w:rsid w:val="5C7878F3"/>
    <w:rsid w:val="5CE868B8"/>
    <w:rsid w:val="5D0B3999"/>
    <w:rsid w:val="5D487342"/>
    <w:rsid w:val="5DD23E94"/>
    <w:rsid w:val="5DF92166"/>
    <w:rsid w:val="5E4352F8"/>
    <w:rsid w:val="5E715CA4"/>
    <w:rsid w:val="5EB50367"/>
    <w:rsid w:val="5F775C2F"/>
    <w:rsid w:val="5F851253"/>
    <w:rsid w:val="5FC51983"/>
    <w:rsid w:val="5FFA17ED"/>
    <w:rsid w:val="600A32D5"/>
    <w:rsid w:val="601F7341"/>
    <w:rsid w:val="610D2B26"/>
    <w:rsid w:val="61160D42"/>
    <w:rsid w:val="61205DF7"/>
    <w:rsid w:val="61EC6F36"/>
    <w:rsid w:val="624A4433"/>
    <w:rsid w:val="62A815B0"/>
    <w:rsid w:val="62CC7B9D"/>
    <w:rsid w:val="62F65418"/>
    <w:rsid w:val="63452E4E"/>
    <w:rsid w:val="63D506D7"/>
    <w:rsid w:val="64232DB9"/>
    <w:rsid w:val="64990483"/>
    <w:rsid w:val="64E44FC5"/>
    <w:rsid w:val="653C162C"/>
    <w:rsid w:val="658A23A5"/>
    <w:rsid w:val="65EB53FF"/>
    <w:rsid w:val="66151727"/>
    <w:rsid w:val="664105F1"/>
    <w:rsid w:val="666053C5"/>
    <w:rsid w:val="66DD7BB1"/>
    <w:rsid w:val="66DE0650"/>
    <w:rsid w:val="66E60B21"/>
    <w:rsid w:val="670E46A1"/>
    <w:rsid w:val="677B1F86"/>
    <w:rsid w:val="67A47DFD"/>
    <w:rsid w:val="67B725E5"/>
    <w:rsid w:val="67EA60E9"/>
    <w:rsid w:val="690D0B36"/>
    <w:rsid w:val="690E7A3F"/>
    <w:rsid w:val="692E0D8D"/>
    <w:rsid w:val="694035C3"/>
    <w:rsid w:val="69962C74"/>
    <w:rsid w:val="69A43B52"/>
    <w:rsid w:val="69FB6AF5"/>
    <w:rsid w:val="6A4472A4"/>
    <w:rsid w:val="6A9770FC"/>
    <w:rsid w:val="6A9C10AA"/>
    <w:rsid w:val="6A9C641C"/>
    <w:rsid w:val="6BED142E"/>
    <w:rsid w:val="6BF36100"/>
    <w:rsid w:val="6BFE0552"/>
    <w:rsid w:val="6C2A5FE8"/>
    <w:rsid w:val="6C7A3290"/>
    <w:rsid w:val="6CBA237E"/>
    <w:rsid w:val="6CFB475C"/>
    <w:rsid w:val="6D6E55BB"/>
    <w:rsid w:val="6DC42A14"/>
    <w:rsid w:val="6DF53E09"/>
    <w:rsid w:val="6E136EBE"/>
    <w:rsid w:val="6EB55A53"/>
    <w:rsid w:val="6EEA2A6C"/>
    <w:rsid w:val="6F0F0BFC"/>
    <w:rsid w:val="6F2B261F"/>
    <w:rsid w:val="6F704EEA"/>
    <w:rsid w:val="6F712003"/>
    <w:rsid w:val="6F777B16"/>
    <w:rsid w:val="6F871F4B"/>
    <w:rsid w:val="6FA36659"/>
    <w:rsid w:val="6FB8343A"/>
    <w:rsid w:val="6FD9651F"/>
    <w:rsid w:val="70545BA6"/>
    <w:rsid w:val="709E00F9"/>
    <w:rsid w:val="70CD516E"/>
    <w:rsid w:val="71191BB7"/>
    <w:rsid w:val="7135441D"/>
    <w:rsid w:val="71610ABB"/>
    <w:rsid w:val="71FD5450"/>
    <w:rsid w:val="722D2A5F"/>
    <w:rsid w:val="72833742"/>
    <w:rsid w:val="72A077AF"/>
    <w:rsid w:val="739D49E3"/>
    <w:rsid w:val="73CB043E"/>
    <w:rsid w:val="73CB324C"/>
    <w:rsid w:val="73F676A0"/>
    <w:rsid w:val="74BB2183"/>
    <w:rsid w:val="74CD5B6B"/>
    <w:rsid w:val="755A4768"/>
    <w:rsid w:val="756643EA"/>
    <w:rsid w:val="75AE6D19"/>
    <w:rsid w:val="76682F7A"/>
    <w:rsid w:val="76D0305C"/>
    <w:rsid w:val="76D101FA"/>
    <w:rsid w:val="77923033"/>
    <w:rsid w:val="77A00E6C"/>
    <w:rsid w:val="77E048EF"/>
    <w:rsid w:val="78EE696A"/>
    <w:rsid w:val="79607075"/>
    <w:rsid w:val="796C5B88"/>
    <w:rsid w:val="79E546B5"/>
    <w:rsid w:val="79FD5B8D"/>
    <w:rsid w:val="7A5944E4"/>
    <w:rsid w:val="7B2F7F0B"/>
    <w:rsid w:val="7B674584"/>
    <w:rsid w:val="7B7917EF"/>
    <w:rsid w:val="7B9A1458"/>
    <w:rsid w:val="7BBF6F52"/>
    <w:rsid w:val="7BC45C24"/>
    <w:rsid w:val="7BE400F9"/>
    <w:rsid w:val="7C506205"/>
    <w:rsid w:val="7C892B4B"/>
    <w:rsid w:val="7C8F3ABE"/>
    <w:rsid w:val="7D217AB6"/>
    <w:rsid w:val="7DBA173E"/>
    <w:rsid w:val="7E2B3EBD"/>
    <w:rsid w:val="7E2E5C88"/>
    <w:rsid w:val="7E804513"/>
    <w:rsid w:val="7F6F0919"/>
    <w:rsid w:val="7F7D2A23"/>
    <w:rsid w:val="7FC9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9"/>
    <w:pPr>
      <w:keepNext/>
      <w:keepLines/>
      <w:spacing w:before="260" w:after="260" w:line="416" w:lineRule="auto"/>
      <w:ind w:firstLine="0" w:firstLineChars="0"/>
      <w:outlineLvl w:val="2"/>
    </w:pPr>
    <w:rPr>
      <w:rFonts w:cs="Times New Roman"/>
      <w:b/>
      <w:bCs/>
      <w:sz w:val="32"/>
      <w:szCs w:val="32"/>
    </w:rPr>
  </w:style>
  <w:style w:type="character" w:default="1" w:styleId="8">
    <w:name w:val="Default Paragraph Font"/>
    <w:semiHidden/>
    <w:qFormat/>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rPr>
      <w:sz w:val="24"/>
    </w:rPr>
  </w:style>
  <w:style w:type="character" w:styleId="9">
    <w:name w:val="Strong"/>
    <w:basedOn w:val="8"/>
    <w:qFormat/>
    <w:uiPriority w:val="0"/>
    <w:rPr>
      <w:b/>
    </w:rPr>
  </w:style>
  <w:style w:type="paragraph" w:customStyle="1" w:styleId="10">
    <w:name w:val="公式"/>
    <w:basedOn w:val="1"/>
    <w:qFormat/>
    <w:uiPriority w:val="0"/>
    <w:pPr>
      <w:widowControl/>
      <w:tabs>
        <w:tab w:val="center" w:pos="4620"/>
        <w:tab w:val="right" w:pos="9240"/>
      </w:tabs>
      <w:ind w:left="3220" w:hanging="3220" w:hangingChars="1400"/>
    </w:pPr>
    <w:rPr>
      <w:rFonts w:hint="default" w:asciiTheme="minorAscii" w:hAnsiTheme="minorAscii"/>
      <w:sz w:val="24"/>
    </w:rPr>
  </w:style>
  <w:style w:type="paragraph" w:customStyle="1" w:styleId="11">
    <w:name w:val="样式1"/>
    <w:basedOn w:val="1"/>
    <w:qFormat/>
    <w:uiPriority w:val="0"/>
    <w:pPr>
      <w:widowControl/>
      <w:tabs>
        <w:tab w:val="center" w:pos="4200"/>
        <w:tab w:val="center" w:pos="4620"/>
        <w:tab w:val="right" w:pos="8400"/>
        <w:tab w:val="right" w:pos="9240"/>
      </w:tabs>
      <w:ind w:left="3220" w:hanging="3220" w:hangingChars="1400"/>
    </w:pPr>
    <w:rPr>
      <w:rFonts w:hint="eastAsia" w:ascii="宋体" w:hAnsi="宋体"/>
      <w:position w:val="-10"/>
      <w:sz w:val="24"/>
    </w:rPr>
  </w:style>
  <w:style w:type="paragraph" w:customStyle="1" w:styleId="12">
    <w:name w:val="二级节标题"/>
    <w:basedOn w:val="3"/>
    <w:next w:val="1"/>
    <w:qFormat/>
    <w:uiPriority w:val="0"/>
    <w:pPr>
      <w:spacing w:before="240" w:after="120" w:line="240" w:lineRule="auto"/>
      <w:jc w:val="left"/>
    </w:pPr>
    <w:rPr>
      <w:szCs w:val="24"/>
    </w:r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6904</Words>
  <Characters>7688</Characters>
  <Lines>0</Lines>
  <Paragraphs>0</Paragraphs>
  <TotalTime>21</TotalTime>
  <ScaleCrop>false</ScaleCrop>
  <LinksUpToDate>false</LinksUpToDate>
  <CharactersWithSpaces>7747</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2023-04-10T12:37:00Z</dcterms:created>
  <dc:creator>z</dc:creator>
  <cp:lastModifiedBy>52834</cp:lastModifiedBy>
  <dcterms:modified xsi:type="dcterms:W3CDTF">2026-01-22T05:51:43Z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17003DB5D29447F39326A2699D8AD6FA_13</vt:lpwstr>
  </property>
  <property fmtid="{D5CDD505-2E9C-101B-9397-08002B2CF9AE}" pid="4" name="KSOTemplateDocerSaveRecord">
    <vt:lpwstr>eyJoZGlkIjoiYmVjM2IxYjNlNTBhZDZkYzkxZmNlODQ2MDA1YWY4MTQiLCJ1c2VySWQiOiI2NTYzNjI1NzQifQ==</vt:lpwstr>
  </property>
</Properties>
</file>