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97407">
      <w:pPr>
        <w:jc w:val="center"/>
      </w:pPr>
      <w:r>
        <w:rPr>
          <w:b/>
          <w:sz w:val="30"/>
        </w:rPr>
        <w:t>车载低轨卫星通信系统EMC性能正向设计研究方案（一页纸简化版）</w:t>
      </w:r>
    </w:p>
    <w:p w14:paraId="29AB2DC6">
      <w:pPr>
        <w:jc w:val="center"/>
      </w:pPr>
      <w:r>
        <w:rPr>
          <w:sz w:val="20"/>
        </w:rPr>
        <w:t>（对标YD/T 4517.4—2024，面向系统级软硬协同设计）</w:t>
      </w:r>
    </w:p>
    <w:p w14:paraId="187639E9">
      <w:pPr>
        <w:jc w:val="center"/>
      </w:pPr>
      <w:r>
        <w:t>北京交通大学 电磁安全与电磁防护研究所  周正阳</w:t>
      </w:r>
    </w:p>
    <w:p w14:paraId="349C3AD9">
      <w:pPr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研究背景</w:t>
      </w:r>
    </w:p>
    <w:p w14:paraId="1B551052">
      <w:pPr>
        <w:pStyle w:val="16"/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车载电磁环境复杂（电机/控制器/高压线束等强干扰源）。</w:t>
      </w:r>
    </w:p>
    <w:p w14:paraId="28E2099D">
      <w:pPr>
        <w:pStyle w:val="16"/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卫星通信“高功率发射+高灵敏接收”，且与GNSS、4G/5G等多射频模块共存，自干扰风险高。</w:t>
      </w:r>
    </w:p>
    <w:p w14:paraId="33B92957">
      <w:pPr>
        <w:pStyle w:val="16"/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需在设计初期开展EMC正向设计，降低事后整改成本与风险。</w:t>
      </w:r>
    </w:p>
    <w:p w14:paraId="750B8015">
      <w:pPr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研究目标</w:t>
      </w:r>
    </w:p>
    <w:p w14:paraId="23EF807B">
      <w:pPr>
        <w:pStyle w:val="16"/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满足骚扰发射限值与抗扰度等级要求。</w:t>
      </w:r>
    </w:p>
    <w:p w14:paraId="0ECF755E">
      <w:pPr>
        <w:pStyle w:val="16"/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满足性能判据A：连接保持、功能无丢失；数据业务吞吐量≥95%。</w:t>
      </w:r>
    </w:p>
    <w:p w14:paraId="75725C24">
      <w:pPr>
        <w:pStyle w:val="16"/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输出可复用的EMC设计策略、检查清单与验证流程。</w:t>
      </w:r>
    </w:p>
    <w:p w14:paraId="3DBAA67A">
      <w:pPr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研究内容（四层级）</w:t>
      </w:r>
    </w:p>
    <w:p w14:paraId="36F933DE">
      <w:pPr>
        <w:pStyle w:val="16"/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系统架构：时域隔离、资源调度、共存策略。</w:t>
      </w:r>
    </w:p>
    <w:p w14:paraId="55D956DB">
      <w:pPr>
        <w:pStyle w:val="16"/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天线/RF：波束赋形抑制干扰、滤波/双工、布局优化。</w:t>
      </w:r>
    </w:p>
    <w:p w14:paraId="386AC932">
      <w:pPr>
        <w:pStyle w:val="16"/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硬件平台：屏蔽/缝隙控制、PCB分区与接地、专用电源管理。</w:t>
      </w:r>
    </w:p>
    <w:p w14:paraId="26B9AC55">
      <w:pPr>
        <w:pStyle w:val="16"/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线束接口：屏蔽/双绞、最小环路与回流路径、布线规范。</w:t>
      </w:r>
    </w:p>
    <w:p w14:paraId="5482EFAF">
      <w:pPr>
        <w:pStyle w:val="16"/>
        <w:numPr>
          <w:numId w:val="0"/>
        </w:numPr>
        <w:spacing w:after="0" w:line="240" w:lineRule="auto"/>
        <w:ind w:leftChars="0"/>
        <w:rPr>
          <w:sz w:val="24"/>
          <w:szCs w:val="24"/>
        </w:rPr>
      </w:pPr>
      <w:r>
        <w:drawing>
          <wp:inline distT="0" distB="0" distL="114300" distR="114300">
            <wp:extent cx="6762750" cy="365442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ADDBE4">
      <w:pPr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预期成果</w:t>
      </w:r>
    </w:p>
    <w:p w14:paraId="7DBD03EC">
      <w:pPr>
        <w:pStyle w:val="16"/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EMC正向设计指南与端口级检查清单。</w:t>
      </w:r>
    </w:p>
    <w:p w14:paraId="4B48917D">
      <w:pPr>
        <w:pStyle w:val="16"/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标准试验映射与典型验证用例库。</w:t>
      </w:r>
    </w:p>
    <w:p w14:paraId="3D402EC1">
      <w:pPr>
        <w:pStyle w:val="16"/>
        <w:spacing w:after="0" w:line="240" w:lineRule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典型失效机理与整改策略库。</w:t>
      </w:r>
    </w:p>
    <w:sectPr>
      <w:pgSz w:w="12240" w:h="15840"/>
      <w:pgMar w:top="794" w:right="794" w:bottom="79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B10E59"/>
    <w:rsid w:val="5D02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441</Characters>
  <Lines>0</Lines>
  <Paragraphs>0</Paragraphs>
  <TotalTime>2</TotalTime>
  <ScaleCrop>false</ScaleCrop>
  <LinksUpToDate>false</LinksUpToDate>
  <CharactersWithSpaces>446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52834</cp:lastModifiedBy>
  <dcterms:modified xsi:type="dcterms:W3CDTF">2026-01-23T11:08:50Z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eyJoZGlkIjoiOTA2YTRlY2JlZWM2OTNlNjc4YzQ3Njc0MzAwMDYwMTMiLCJ1c2VySWQiOiI2NTYzNjI1NzQifQ==</vt:lpwstr>
  </property>
  <property fmtid="{D5CDD505-2E9C-101B-9397-08002B2CF9AE}" pid="3" name="KSOProductBuildVer">
    <vt:lpwstr>2052-12.1.0.24655</vt:lpwstr>
  </property>
  <property fmtid="{D5CDD505-2E9C-101B-9397-08002B2CF9AE}" pid="4" name="ICV">
    <vt:lpwstr>56E75F77945B4D179515CAE938BD7816_13</vt:lpwstr>
  </property>
</Properties>
</file>