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FD103">
      <w:pPr>
        <w:pStyle w:val="2"/>
        <w:keepNext w:val="0"/>
        <w:keepLines w:val="0"/>
        <w:widowControl/>
        <w:suppressLineNumbers w:val="0"/>
      </w:pPr>
      <w:r>
        <w:t>车载低轨卫星通信系统EMC性能正向设计研究方案（一页纸简化版）</w:t>
      </w:r>
    </w:p>
    <w:p w14:paraId="41BA63BA">
      <w:pPr>
        <w:pStyle w:val="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>技术实施方案</w:t>
      </w:r>
    </w:p>
    <w:p w14:paraId="5E0F35AC">
      <w:pPr>
        <w:pStyle w:val="3"/>
        <w:keepNext w:val="0"/>
        <w:keepLines w:val="0"/>
        <w:widowControl/>
        <w:suppressLineNumbers w:val="0"/>
        <w:rPr>
          <w:b/>
          <w:bCs/>
        </w:rPr>
      </w:pPr>
      <w:bookmarkStart w:id="0" w:name="_GoBack"/>
      <w:r>
        <w:drawing>
          <wp:inline distT="0" distB="0" distL="114300" distR="114300">
            <wp:extent cx="5882005" cy="3178175"/>
            <wp:effectExtent l="0" t="0" r="4445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2005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E5AFC5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技术路线</w:t>
      </w:r>
      <w:r>
        <w:t xml:space="preserve"> 基于“预测—规避—抑制—验证”的闭环思路，在设计初期对车载低轨卫星通信系统可能面临的电磁干扰进行预测。通过软硬协同的正向设计策略，从源头规避资源冲突，抑制传导与辐射噪声，最终通过对标YD/T 4517.4—2024标准实现系统级电磁兼容 。</w:t>
      </w:r>
    </w:p>
    <w:p w14:paraId="3F3D44C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具体实施内容</w:t>
      </w:r>
    </w:p>
    <w:p w14:paraId="48B23D9E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系统架构层级：时域隔离与资源调度</w:t>
      </w:r>
      <w:r>
        <w:t xml:space="preserve"> 针对多射频模块共存引发的自干扰问题，实施软件定义的EMC设计。通过建立系统级资源调度策略，对频谱资源和发射时序进行统一规划。利用时域隔离技术，在卫星高功率发射间隙调度敏感接收任务，从逻辑上避免并发冲突，确保满足数据吞吐量≥95%的性能判据 。</w:t>
      </w:r>
    </w:p>
    <w:p w14:paraId="13EF962B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天线与射频层级：波束赋形与滤波抑制</w:t>
      </w:r>
      <w:r>
        <w:t xml:space="preserve"> 针对高功率发射与高灵敏接收并存的特性，实施主动干扰抑制设计。利用波束赋形技术在干扰方向形成“零点”，降低非期望辐射。结合射频链路的声表面波（SAW）滤波器与双工器设计，深度抑制带外杂散和谐波。优化天线在车身的物理布局，利用车体实现空间隔离，满足辐射杂散限值与30V/m辐射抗扰度要求 。</w:t>
      </w:r>
    </w:p>
    <w:p w14:paraId="7C50CF85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硬件平台层级：屏蔽设计与电源完整性</w:t>
      </w:r>
      <w:r>
        <w:t xml:space="preserve"> 针对数字电路噪声耦合与外泄问题，实施物理层EMC强化设计。构建金属屏蔽体并严格控制缝隙尺寸（≤λ/20）以切断辐射路径。优化PCB分区与接地设计，开发专用电源管理模块（PMU）以提供低阻抗回流路径，抑制共模干扰，确保通过大电流注入（BCI）及传导骚扰测试 。</w:t>
      </w:r>
    </w:p>
    <w:p w14:paraId="558606D6"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线束布局层级：耦合抑制与布线规范</w:t>
      </w:r>
      <w:r>
        <w:t xml:space="preserve"> 针对长距离线束的耦合干扰与环路辐射问题，实施规范化布线设计。选用屏蔽线缆与双绞线抵御容性/感性耦合，严格遵循源-路径-敏感体分离原则进行线束与连接器布局。通过最小化信号环路面积和可靠的屏蔽层搭接设计，提升系统对瞬态传导脉冲的抗扰度能力 。</w:t>
      </w:r>
    </w:p>
    <w:p w14:paraId="52EC3F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8912A4"/>
    <w:rsid w:val="2A5457D8"/>
    <w:rsid w:val="3E594080"/>
    <w:rsid w:val="464717D3"/>
    <w:rsid w:val="47F92430"/>
    <w:rsid w:val="534A7FE3"/>
    <w:rsid w:val="750D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2026-01-26T08:01:13Z</dcterms:created>
  <dc:creator>52834</dc:creator>
  <cp:lastModifiedBy>52834</cp:lastModifiedBy>
  <dcterms:modified xsi:type="dcterms:W3CDTF">2026-01-26T08:03:23Z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2052-12.1.0.24655</vt:lpwstr>
  </property>
  <property fmtid="{D5CDD505-2E9C-101B-9397-08002B2CF9AE}" pid="3" name="KSOTemplateDocerSaveRecord">
    <vt:lpwstr>eyJoZGlkIjoiOTA2YTRlY2JlZWM2OTNlNjc4YzQ3Njc0MzAwMDYwMTMiLCJ1c2VySWQiOiI2NTYzNjI1NzQifQ==</vt:lpwstr>
  </property>
  <property fmtid="{D5CDD505-2E9C-101B-9397-08002B2CF9AE}" pid="4" name="ICV">
    <vt:lpwstr>2F97C9B76C7B4624955ABD0E7C9768CD_12</vt:lpwstr>
  </property>
</Properties>
</file>