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F84AEA">
      <w:pPr>
        <w:pStyle w:val="2"/>
        <w:keepNext w:val="0"/>
        <w:keepLines w:val="0"/>
        <w:widowControl/>
        <w:suppressLineNumbers w:val="0"/>
        <w:rPr>
          <w:rFonts w:ascii="宋体" w:hAnsi="宋体" w:eastAsia="宋体" w:cstheme="minorBidi"/>
          <w:b/>
          <w:kern w:val="0"/>
          <w:sz w:val="32"/>
          <w:szCs w:val="22"/>
          <w:lang w:val="en-US" w:eastAsia="en-US" w:bidi="ar-SA"/>
        </w:rPr>
      </w:pPr>
      <w:r>
        <w:rPr>
          <w:rFonts w:ascii="宋体" w:hAnsi="宋体" w:eastAsia="宋体" w:cstheme="minorBidi"/>
          <w:b/>
          <w:kern w:val="0"/>
          <w:sz w:val="32"/>
          <w:szCs w:val="22"/>
          <w:lang w:val="en-US" w:eastAsia="en-US" w:bidi="ar-SA"/>
        </w:rPr>
        <w:t>车载低轨卫星通信系统EMC性能正向设计技术研究方案（两页纸简化版）</w:t>
      </w:r>
    </w:p>
    <w:p w14:paraId="215C4F5B">
      <w:pPr>
        <w:pStyle w:val="2"/>
        <w:keepNext w:val="0"/>
        <w:keepLines w:val="0"/>
        <w:widowControl/>
        <w:suppressLineNumbers w:val="0"/>
        <w:rPr>
          <w:b/>
          <w:bCs/>
        </w:rPr>
      </w:pPr>
      <w:r>
        <w:rPr>
          <w:b/>
          <w:bCs/>
        </w:rPr>
        <w:t>技术实</w:t>
      </w:r>
      <w:bookmarkStart w:id="0" w:name="_GoBack"/>
      <w:bookmarkEnd w:id="0"/>
      <w:r>
        <w:rPr>
          <w:b/>
          <w:bCs/>
        </w:rPr>
        <w:t>施方案</w:t>
      </w:r>
    </w:p>
    <w:p w14:paraId="7717E038">
      <w:pPr>
        <w:pStyle w:val="2"/>
        <w:keepNext w:val="0"/>
        <w:keepLines w:val="0"/>
        <w:widowControl/>
        <w:suppressLineNumbers w:val="0"/>
        <w:rPr>
          <w:b/>
          <w:bCs/>
        </w:rPr>
      </w:pPr>
      <w:r>
        <w:drawing>
          <wp:inline distT="0" distB="0" distL="114300" distR="114300">
            <wp:extent cx="5720715" cy="3218180"/>
            <wp:effectExtent l="0" t="0" r="3810" b="127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20715" cy="3218180"/>
                    </a:xfrm>
                    <a:prstGeom prst="rect">
                      <a:avLst/>
                    </a:prstGeom>
                    <a:noFill/>
                    <a:ln w="9525">
                      <a:noFill/>
                    </a:ln>
                  </pic:spPr>
                </pic:pic>
              </a:graphicData>
            </a:graphic>
          </wp:inline>
        </w:drawing>
      </w:r>
    </w:p>
    <w:p w14:paraId="0E4D2D6D">
      <w:pPr>
        <w:pStyle w:val="2"/>
        <w:keepNext w:val="0"/>
        <w:keepLines w:val="0"/>
        <w:widowControl/>
        <w:suppressLineNumbers w:val="0"/>
      </w:pPr>
      <w:r>
        <w:rPr>
          <w:b/>
          <w:bCs/>
        </w:rPr>
        <w:t>具体实施内容</w:t>
      </w:r>
    </w:p>
    <w:p w14:paraId="1B55091D">
      <w:pPr>
        <w:pStyle w:val="2"/>
        <w:keepNext w:val="0"/>
        <w:keepLines w:val="0"/>
        <w:widowControl/>
        <w:suppressLineNumbers w:val="0"/>
      </w:pPr>
      <w:r>
        <w:t>本项目将依据车载低轨卫星通信系统的架构特点，从系统架构、天线射频、硬件平台及线束布局四个层级开展EMC正向设计与验证工作。</w:t>
      </w:r>
    </w:p>
    <w:p w14:paraId="6C09CC9E">
      <w:pPr>
        <w:pStyle w:val="2"/>
        <w:keepNext w:val="0"/>
        <w:keepLines w:val="0"/>
        <w:widowControl/>
        <w:suppressLineNumbers w:val="0"/>
      </w:pPr>
      <w:r>
        <w:rPr>
          <w:b/>
          <w:bCs/>
        </w:rPr>
        <w:t>系统架构层级EMC正向设计与验证</w:t>
      </w:r>
    </w:p>
    <w:p w14:paraId="1583419A">
      <w:pPr>
        <w:pStyle w:val="2"/>
        <w:keepNext w:val="0"/>
        <w:keepLines w:val="0"/>
        <w:widowControl/>
        <w:suppressLineNumbers w:val="0"/>
        <w:ind w:firstLine="420" w:firstLineChars="0"/>
      </w:pPr>
      <w:r>
        <w:rPr>
          <w:b/>
          <w:bCs/>
        </w:rPr>
        <w:t>干扰机理与资源冲突分析</w:t>
      </w:r>
      <w:r>
        <w:t xml:space="preserve"> 针对车载低轨卫星通信系统多射频模块（卫星、GNSS、4G/5G）共存的特点，分析系统内自干扰机理。重点研究卫星通信发射模块在相邻频段工作时对微弱GNSS信号的淹没效应，以及多模块在缺乏统一调度时因共享频谱、时间资源引发的发射叠加与接收阻塞问题 。</w:t>
      </w:r>
    </w:p>
    <w:p w14:paraId="29B2B9AE">
      <w:pPr>
        <w:pStyle w:val="2"/>
        <w:keepNext w:val="0"/>
        <w:keepLines w:val="0"/>
        <w:widowControl/>
        <w:suppressLineNumbers w:val="0"/>
        <w:ind w:firstLine="420" w:firstLineChars="0"/>
      </w:pPr>
      <w:r>
        <w:rPr>
          <w:b/>
          <w:bCs/>
        </w:rPr>
        <w:t>系统级资源调度策略设计</w:t>
      </w:r>
      <w:r>
        <w:t xml:space="preserve"> 从系统架构层面建立时域隔离与资源调度模型。设计优先级判定与时序控制算法，在卫星通信高功率发射期间，通过系统指令暂时抑制或关闭敏感接收功能（如GNSS），从逻辑和时序上规避同频/邻频干扰 。构建频谱资源规划策略，明确发射机免测频段与保护带，避免无序发射导致的频谱污染 。</w:t>
      </w:r>
    </w:p>
    <w:p w14:paraId="3FF26C90">
      <w:pPr>
        <w:pStyle w:val="2"/>
        <w:keepNext w:val="0"/>
        <w:keepLines w:val="0"/>
        <w:widowControl/>
        <w:suppressLineNumbers w:val="0"/>
        <w:ind w:firstLine="420" w:firstLineChars="0"/>
      </w:pPr>
      <w:r>
        <w:rPr>
          <w:b/>
          <w:bCs/>
        </w:rPr>
        <w:t>系统架构独立验证方法</w:t>
      </w:r>
      <w:r>
        <w:t xml:space="preserve"> 建立性能判据A验证平台。在多模块并发工作的干扰场景下，测试系统的数据吞吐量与连接稳定性。验证设计是否满足《YD/T 4517.4—2024》要求：即通信连接保持，无功能丧失，且数据吞吐量不低于参考测试信道最大吞吐量的95% 。</w:t>
      </w:r>
    </w:p>
    <w:p w14:paraId="5B339305">
      <w:pPr>
        <w:pStyle w:val="2"/>
        <w:keepNext w:val="0"/>
        <w:keepLines w:val="0"/>
        <w:widowControl/>
        <w:suppressLineNumbers w:val="0"/>
      </w:pPr>
      <w:r>
        <w:rPr>
          <w:b/>
          <w:bCs/>
        </w:rPr>
        <w:t>天线与射频前端EMC正向设计与验证</w:t>
      </w:r>
    </w:p>
    <w:p w14:paraId="09389EA3">
      <w:pPr>
        <w:pStyle w:val="2"/>
        <w:keepNext w:val="0"/>
        <w:keepLines w:val="0"/>
        <w:widowControl/>
        <w:suppressLineNumbers w:val="0"/>
        <w:ind w:firstLine="420" w:firstLineChars="0"/>
      </w:pPr>
      <w:r>
        <w:rPr>
          <w:b/>
          <w:bCs/>
        </w:rPr>
        <w:t>辐射发射与抗扰度机理研究</w:t>
      </w:r>
      <w:r>
        <w:t xml:space="preserve"> 分析天线作为系统能量交互“门户”的特性，提取高功率发射时的带外杂散和谐波分量辐射路径，以及高灵敏度接收天线拾取外部强电磁场（如基站、雷达）和车内噪声（如电机干扰）的耦合机制 。</w:t>
      </w:r>
    </w:p>
    <w:p w14:paraId="56C7AE28">
      <w:pPr>
        <w:pStyle w:val="2"/>
        <w:keepNext w:val="0"/>
        <w:keepLines w:val="0"/>
        <w:widowControl/>
        <w:suppressLineNumbers w:val="0"/>
        <w:ind w:firstLine="420" w:firstLineChars="0"/>
      </w:pPr>
      <w:r>
        <w:rPr>
          <w:b/>
          <w:bCs/>
        </w:rPr>
        <w:t>射频前端与波束赋形设计</w:t>
      </w:r>
      <w:r>
        <w:t xml:space="preserve"> 在设计阶段引入主动干扰抑制技术。通过波束赋形算法设计，控制能量指向并在干扰方向形成“零点”，提升空间选择性 。开展射频链路滤波设计，选用SAW滤波器与双工器抑制带外噪声 。优化天线布局，利用车身结构实现物理隔离，将主辐射能量导向车外 。</w:t>
      </w:r>
    </w:p>
    <w:p w14:paraId="39032D41">
      <w:pPr>
        <w:pStyle w:val="2"/>
        <w:keepNext w:val="0"/>
        <w:keepLines w:val="0"/>
        <w:widowControl/>
        <w:suppressLineNumbers w:val="0"/>
        <w:ind w:firstLine="420" w:firstLineChars="0"/>
      </w:pPr>
      <w:r>
        <w:rPr>
          <w:b/>
          <w:bCs/>
        </w:rPr>
        <w:t>射频指标独立验证方法</w:t>
      </w:r>
      <w:r>
        <w:t xml:space="preserve"> 依据标准进行辐射杂散与抗扰度测试验证。对比仿真与实测结果，确保天线端口及机壳端口的辐射杂散满足30MHz~1GHz频段-36dBm的限值要求 。同时验证在30 V/m（400 MHz～6 GHz）场强下的辐射抗扰度性能 。</w:t>
      </w:r>
    </w:p>
    <w:p w14:paraId="24D3E323">
      <w:pPr>
        <w:pStyle w:val="2"/>
        <w:keepNext w:val="0"/>
        <w:keepLines w:val="0"/>
        <w:widowControl/>
        <w:suppressLineNumbers w:val="0"/>
      </w:pPr>
      <w:r>
        <w:rPr>
          <w:b/>
          <w:bCs/>
        </w:rPr>
        <w:t>硬件平台EMC正向设计与验证</w:t>
      </w:r>
    </w:p>
    <w:p w14:paraId="6F69AC4F">
      <w:pPr>
        <w:pStyle w:val="2"/>
        <w:keepNext w:val="0"/>
        <w:keepLines w:val="0"/>
        <w:widowControl/>
        <w:suppressLineNumbers w:val="0"/>
        <w:ind w:firstLine="420" w:firstLineChars="0"/>
      </w:pPr>
      <w:r>
        <w:rPr>
          <w:b/>
          <w:bCs/>
        </w:rPr>
        <w:t>混合集成电路干扰耦合分析</w:t>
      </w:r>
      <w:r>
        <w:t xml:space="preserve"> 分析数字基带与射频前端混合集成架构下的噪声路径。重点研究高速数字电路开关噪声通过电源和地平面共阻抗耦合至射频接收电路的机理，以及高速时钟电路噪声通过机壳缝隙向外辐射的泄漏机制 。</w:t>
      </w:r>
    </w:p>
    <w:p w14:paraId="2C4AB406">
      <w:pPr>
        <w:pStyle w:val="2"/>
        <w:keepNext w:val="0"/>
        <w:keepLines w:val="0"/>
        <w:widowControl/>
        <w:suppressLineNumbers w:val="0"/>
        <w:ind w:firstLine="420" w:firstLineChars="0"/>
      </w:pPr>
      <w:r>
        <w:rPr>
          <w:b/>
          <w:bCs/>
        </w:rPr>
        <w:t>屏蔽与电源完整性设计</w:t>
      </w:r>
      <w:r>
        <w:t xml:space="preserve"> 搭建硬件平台EMC设计模型。实施模块级金属屏蔽设计，依据λ/20原则（如500MHz对应缝隙≤30mm）控制缝隙尺寸，抑制噪声外泄与外部入侵 。优化PCB布局与电源分配网络（PDN），设计专用电源管理模块（PMU）并规划低阻抗回流路径，阻断共模干扰耦合 。</w:t>
      </w:r>
    </w:p>
    <w:p w14:paraId="2A311FAB">
      <w:pPr>
        <w:pStyle w:val="2"/>
        <w:keepNext w:val="0"/>
        <w:keepLines w:val="0"/>
        <w:widowControl/>
        <w:suppressLineNumbers w:val="0"/>
        <w:ind w:firstLine="420" w:firstLineChars="0"/>
      </w:pPr>
      <w:r>
        <w:rPr>
          <w:b/>
          <w:bCs/>
        </w:rPr>
        <w:t>硬件模组独立验证方法</w:t>
      </w:r>
      <w:r>
        <w:t xml:space="preserve"> 采用大电流注入（BCI）法与传导/辐射骚扰测试法进行验证。在1 MHz～400 MHz频段内注入60 mA电流，验证硬件平台抗传导干扰能力 。通过辐射骚扰测试（RE）与传导骚扰电流法（CE）验证屏蔽效能与PCB噪声抑制效果，确保满足标准限值 。</w:t>
      </w:r>
    </w:p>
    <w:p w14:paraId="57AD8424">
      <w:pPr>
        <w:pStyle w:val="2"/>
        <w:keepNext w:val="0"/>
        <w:keepLines w:val="0"/>
        <w:widowControl/>
        <w:suppressLineNumbers w:val="0"/>
      </w:pPr>
      <w:r>
        <w:rPr>
          <w:b/>
          <w:bCs/>
        </w:rPr>
        <w:t>线束布局EMC正向设计与验证</w:t>
      </w:r>
    </w:p>
    <w:p w14:paraId="66051C3A">
      <w:pPr>
        <w:pStyle w:val="2"/>
        <w:keepNext w:val="0"/>
        <w:keepLines w:val="0"/>
        <w:widowControl/>
        <w:suppressLineNumbers w:val="0"/>
        <w:ind w:firstLine="420" w:firstLineChars="0"/>
      </w:pPr>
      <w:r>
        <w:rPr>
          <w:b/>
          <w:bCs/>
        </w:rPr>
        <w:t>线束耦合与环路效应参数获取</w:t>
      </w:r>
      <w:r>
        <w:t xml:space="preserve"> 提取车辆复杂电磁环境中线束的分布参数。重点分析长距离线束与大功率设备（电机、水泵）并行布线时的容性耦合与感性耦合特征，以及线束与车体构成的环路天线效应 。</w:t>
      </w:r>
    </w:p>
    <w:p w14:paraId="00D6FAD0">
      <w:pPr>
        <w:pStyle w:val="2"/>
        <w:keepNext w:val="0"/>
        <w:keepLines w:val="0"/>
        <w:widowControl/>
        <w:suppressLineNumbers w:val="0"/>
        <w:ind w:firstLine="420" w:firstLineChars="0"/>
      </w:pPr>
      <w:r>
        <w:rPr>
          <w:b/>
          <w:bCs/>
        </w:rPr>
        <w:t>线束防护与布局设计</w:t>
      </w:r>
      <w:r>
        <w:t xml:space="preserve"> 建立线束EMC设计规范。设计屏蔽线缆与双绞线方案，最小化环路面积以抑制磁场耦合 。实施“源-路径-敏感体”分离的布线策略，确保敏感信号线远离强干扰源，并设计可靠的连接器与屏蔽层搭接结构 。</w:t>
      </w:r>
    </w:p>
    <w:p w14:paraId="1405C2A1">
      <w:pPr>
        <w:pStyle w:val="2"/>
        <w:keepNext w:val="0"/>
        <w:keepLines w:val="0"/>
        <w:widowControl/>
        <w:suppressLineNumbers w:val="0"/>
        <w:ind w:firstLine="420" w:firstLineChars="0"/>
      </w:pPr>
      <w:r>
        <w:rPr>
          <w:b/>
          <w:bCs/>
        </w:rPr>
        <w:t>线束瞬态抗扰度验证方法</w:t>
      </w:r>
      <w:r>
        <w:t xml:space="preserve"> 依据标准进行导线电瞬态传导抗扰度测试。采用直接电容器耦合（DCC）或感性耦合钳（ICC）注入快速/慢速脉冲，验证线束在瞬态干扰下的耦合抑制能力与系统稳定性 。</w:t>
      </w:r>
    </w:p>
    <w:p w14:paraId="31356CB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12D5EB4"/>
    <w:rsid w:val="65FA0D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1442</Words>
  <Characters>1547</Characters>
  <Lines>0</Lines>
  <Paragraphs>0</Paragraphs>
  <TotalTime>1</TotalTime>
  <ScaleCrop>false</ScaleCrop>
  <LinksUpToDate>false</LinksUpToDate>
  <CharactersWithSpaces>1585</CharactersWithSpaces>
  <Application>WPS Office_12.1.0.24655_F1E327BC-269C-435d-A152-05C5408002CA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2026-01-26T07:52:00Z</dcterms:created>
  <dc:creator>52834</dc:creator>
  <cp:lastModifiedBy>morty</cp:lastModifiedBy>
  <dcterms:modified xsi:type="dcterms:W3CDTF">2026-01-26T09:57:04Z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2052-12.1.0.24655</vt:lpwstr>
  </property>
  <property fmtid="{D5CDD505-2E9C-101B-9397-08002B2CF9AE}" pid="3" name="KSOTemplateDocerSaveRecord">
    <vt:lpwstr>eyJoZGlkIjoiOTA2YTRlY2JlZWM2OTNlNjc4YzQ3Njc0MzAwMDYwMTMiLCJ1c2VySWQiOiI2NTYzNjI1NzQifQ==</vt:lpwstr>
  </property>
  <property fmtid="{D5CDD505-2E9C-101B-9397-08002B2CF9AE}" pid="4" name="ICV">
    <vt:lpwstr>E13CB349BB174F6A9DF2E692DED8B67C_12</vt:lpwstr>
  </property>
</Properties>
</file>