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C1288">
      <w:pPr>
        <w:jc w:val="center"/>
      </w:pPr>
      <w:r>
        <w:rPr>
          <w:b/>
          <w:sz w:val="36"/>
        </w:rPr>
        <w:t>试验室环境下低轨卫星通信系统EMC仿真技术研究方案（两页纸）</w:t>
      </w:r>
    </w:p>
    <w:p w14:paraId="56A3FF9F">
      <w:pPr>
        <w:jc w:val="center"/>
      </w:pPr>
      <w:r>
        <w:rPr>
          <w:sz w:val="22"/>
        </w:rPr>
        <w:t>北京交通大学 电磁安全与电磁防护研究所  周正阳</w:t>
      </w:r>
    </w:p>
    <w:p w14:paraId="21B17990"/>
    <w:p w14:paraId="7444046B">
      <w:pPr>
        <w:pStyle w:val="4"/>
      </w:pPr>
      <w:r>
        <w:t>1 背景与研究意义</w:t>
      </w:r>
    </w:p>
    <w:p w14:paraId="7838530D">
      <w:pPr>
        <w:pStyle w:val="16"/>
      </w:pPr>
      <w:r>
        <w:rPr>
          <w:sz w:val="22"/>
        </w:rPr>
        <w:t>低轨卫星通信系统快速发展，通信抗干扰性能与电磁兼容性（EMC）评估成为保障系统可靠性的关键环节。</w:t>
      </w:r>
    </w:p>
    <w:p w14:paraId="408E9198">
      <w:pPr>
        <w:pStyle w:val="16"/>
      </w:pPr>
      <w:r>
        <w:rPr>
          <w:sz w:val="22"/>
        </w:rPr>
        <w:t>传统实验室测试难以复现“多干扰源耦合+动态组网”综合效应，导致测试结果与在轨性能存在偏差。</w:t>
      </w:r>
    </w:p>
    <w:p w14:paraId="5A5FDC32">
      <w:pPr>
        <w:pStyle w:val="16"/>
      </w:pPr>
      <w:r>
        <w:rPr>
          <w:sz w:val="22"/>
        </w:rPr>
        <w:t>亟需将行业标准要求（骚扰/抗扰度限值、性能判据）与通信性能指标统一到可复用的仿真-实测闭环流程中。</w:t>
      </w:r>
    </w:p>
    <w:p w14:paraId="251E0DCB">
      <w:pPr>
        <w:pStyle w:val="4"/>
      </w:pPr>
      <w:r>
        <w:t>2 研究目标</w:t>
      </w:r>
    </w:p>
    <w:p w14:paraId="0C4874E3">
      <w:pPr>
        <w:pStyle w:val="16"/>
      </w:pPr>
      <w:r>
        <w:rPr>
          <w:sz w:val="22"/>
        </w:rPr>
        <w:t>构建覆盖“单星链路-多星动态组网”的实验室EMC/通信联合仿真与评估方法。</w:t>
      </w:r>
    </w:p>
    <w:p w14:paraId="69B087E1">
      <w:pPr>
        <w:pStyle w:val="16"/>
      </w:pPr>
      <w:r>
        <w:rPr>
          <w:sz w:val="22"/>
        </w:rPr>
        <w:t>建立贴近典型应用场景的干扰模型与干扰特征库，并实现极限压力用例的智能生成。</w:t>
      </w:r>
    </w:p>
    <w:p w14:paraId="568B735A">
      <w:pPr>
        <w:pStyle w:val="16"/>
      </w:pPr>
      <w:r>
        <w:rPr>
          <w:sz w:val="22"/>
        </w:rPr>
        <w:t>形成可移植的测试用例生成方法、标准化评估报告与防护建议，支撑工程正向设计与标准完善。</w:t>
      </w:r>
    </w:p>
    <w:p w14:paraId="10FCA72B">
      <w:pPr>
        <w:pStyle w:val="4"/>
      </w:pPr>
      <w:r>
        <w:t>3 研究内容与关键技术</w:t>
      </w:r>
    </w:p>
    <w:p w14:paraId="1C7069DC">
      <w:pPr>
        <w:pStyle w:val="14"/>
        <w:spacing w:after="40"/>
      </w:pPr>
      <w:r>
        <w:rPr>
          <w:sz w:val="22"/>
        </w:rPr>
        <w:t>实验测量与数据集：构建微波暗室/GNSS暗箱测试环境，获取链路指标与不同干扰条件下的“干扰-响应”数据集。</w:t>
      </w:r>
    </w:p>
    <w:p w14:paraId="11B2135F">
      <w:pPr>
        <w:pStyle w:val="14"/>
        <w:spacing w:after="40"/>
      </w:pPr>
      <w:r>
        <w:rPr>
          <w:sz w:val="22"/>
        </w:rPr>
        <w:t>模型抽象与接口校正：将实测数据拟合为接口函数/节点库，使仿真节点行为与实测对齐，并具备一定外推能力。</w:t>
      </w:r>
    </w:p>
    <w:p w14:paraId="527A1D0D">
      <w:pPr>
        <w:pStyle w:val="14"/>
        <w:spacing w:after="40"/>
      </w:pPr>
      <w:r>
        <w:rPr>
          <w:sz w:val="22"/>
        </w:rPr>
        <w:t>EMC仿真模块集成：基于行业标准，集成骚扰测量仿真（辐射杂散、辐射骚扰、传导骚扰）与抗扰度试验仿真（辐射抗扰度、BCI、ESD等），嵌入限值与性能判据。</w:t>
      </w:r>
    </w:p>
    <w:p w14:paraId="374B8180">
      <w:pPr>
        <w:pStyle w:val="14"/>
        <w:spacing w:after="40"/>
      </w:pPr>
      <w:r>
        <w:rPr>
          <w:sz w:val="22"/>
        </w:rPr>
        <w:t>智能用例生成与闭环验证：建立干扰特征库，结合遗传算法（GA）与生成对抗网络（GAN）生成最恶劣/罕见干扰场景；在仿真平台中动态注入干扰并与实测对标，输出用例库与防护建议。</w:t>
      </w:r>
    </w:p>
    <w:p w14:paraId="722B6587">
      <w:pPr>
        <w:spacing w:before="80"/>
        <w:jc w:val="center"/>
      </w:pPr>
      <w:bookmarkStart w:id="0" w:name="_GoBack"/>
      <w:r>
        <w:drawing>
          <wp:inline distT="0" distB="0" distL="114300" distR="114300">
            <wp:extent cx="5939790" cy="4157980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3199F10">
      <w:pPr>
        <w:jc w:val="center"/>
      </w:pPr>
      <w:r>
        <w:rPr>
          <w:i/>
          <w:sz w:val="21"/>
        </w:rPr>
        <w:t>图1 关键技术说明图（两页纸附图）</w:t>
      </w:r>
    </w:p>
    <w:p w14:paraId="7B6DE4E3">
      <w:pPr>
        <w:pStyle w:val="4"/>
      </w:pPr>
      <w:r>
        <w:t>4 技术路线与实施计划</w:t>
      </w:r>
    </w:p>
    <w:p w14:paraId="5723A4D4">
      <w:pPr>
        <w:pStyle w:val="16"/>
      </w:pPr>
      <w:r>
        <w:rPr>
          <w:sz w:val="22"/>
        </w:rPr>
        <w:t>阶段1（0-3个月）：搭建实验室环境与测试链路；完成典型干扰源配置与基准数据采集。</w:t>
      </w:r>
    </w:p>
    <w:p w14:paraId="24530493">
      <w:pPr>
        <w:pStyle w:val="16"/>
      </w:pPr>
      <w:r>
        <w:rPr>
          <w:sz w:val="22"/>
        </w:rPr>
        <w:t>阶段2（3-6个月）：完成接口函数/节点库建模与参数校正；初步建立干扰特征库。</w:t>
      </w:r>
    </w:p>
    <w:p w14:paraId="217560D1">
      <w:pPr>
        <w:pStyle w:val="16"/>
      </w:pPr>
      <w:r>
        <w:rPr>
          <w:sz w:val="22"/>
        </w:rPr>
        <w:t>阶段3（6-9个月）：集成骚扰测量与抗扰度试验仿真模块；实现标准限值/判据嵌入与联合评估流程。</w:t>
      </w:r>
    </w:p>
    <w:p w14:paraId="0596DDD1">
      <w:pPr>
        <w:pStyle w:val="16"/>
      </w:pPr>
      <w:r>
        <w:rPr>
          <w:sz w:val="22"/>
        </w:rPr>
        <w:t>阶段4（9-12个月）：GA+GAN智能用例生成与动态注入；仿真-实测闭环验证；沉淀用例库、报告模板与防护建议。</w:t>
      </w:r>
    </w:p>
    <w:p w14:paraId="33C80825">
      <w:pPr>
        <w:pStyle w:val="4"/>
      </w:pPr>
      <w:r>
        <w:t>5 预期成果与应用</w:t>
      </w:r>
    </w:p>
    <w:p w14:paraId="5B7D4A5E">
      <w:pPr>
        <w:pStyle w:val="16"/>
      </w:pPr>
      <w:r>
        <w:rPr>
          <w:sz w:val="22"/>
        </w:rPr>
        <w:t>实验基准数据集、接口函数库与干扰特征库（可复用、可扩展）。</w:t>
      </w:r>
    </w:p>
    <w:p w14:paraId="20C0DC91">
      <w:pPr>
        <w:pStyle w:val="16"/>
      </w:pPr>
      <w:r>
        <w:rPr>
          <w:sz w:val="22"/>
        </w:rPr>
        <w:t>面向标准要求的EMC/通信联合仿真平台（覆盖骚扰与抗扰度项目）。</w:t>
      </w:r>
    </w:p>
    <w:p w14:paraId="3B04789E">
      <w:pPr>
        <w:pStyle w:val="16"/>
      </w:pPr>
      <w:r>
        <w:rPr>
          <w:sz w:val="22"/>
        </w:rPr>
        <w:t>典型与极限干扰测试用例库（含生成方法）与评估报告模板。</w:t>
      </w:r>
    </w:p>
    <w:p w14:paraId="65AF2C92">
      <w:pPr>
        <w:pStyle w:val="16"/>
      </w:pPr>
      <w:r>
        <w:rPr>
          <w:sz w:val="22"/>
        </w:rPr>
        <w:t>支撑工程落地：为抗干扰/防护设计、外场试验规划与行业标准完善提供依据。</w:t>
      </w:r>
    </w:p>
    <w:sectPr>
      <w:pgSz w:w="11906" w:h="16838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F1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899</Words>
  <Characters>936</Characters>
  <Lines>0</Lines>
  <Paragraphs>0</Paragraphs>
  <TotalTime>1</TotalTime>
  <ScaleCrop>false</ScaleCrop>
  <LinksUpToDate>false</LinksUpToDate>
  <CharactersWithSpaces>945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52834</cp:lastModifiedBy>
  <dcterms:modified xsi:type="dcterms:W3CDTF">2026-01-23T09:42:46Z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B90BEEDE8F04460EB9990DFF93D27ABA_13</vt:lpwstr>
  </property>
</Properties>
</file>