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DDDD">
      <w:pPr>
        <w:pStyle w:val="11"/>
        <w:keepNext/>
        <w:keepLines/>
        <w:pageBreakBefore w:val="0"/>
        <w:kinsoku/>
        <w:wordWrap/>
        <w:overflowPunct/>
        <w:topLinePunct w:val="0"/>
        <w:autoSpaceDE/>
        <w:autoSpaceDN/>
        <w:bidi w:val="0"/>
        <w:adjustRightInd/>
        <w:snapToGrid/>
        <w:spacing w:beforeLines="0" w:beforeAutospacing="0" w:afterLines="0" w:afterAutospacing="0" w:line="360" w:lineRule="auto"/>
        <w:jc w:val="center"/>
        <w:textAlignment w:val="auto"/>
        <w:rPr>
          <w:rFonts w:hint="eastAsia" w:ascii="Times New Roman" w:hAnsi="Times New Roman" w:eastAsia="宋体" w:cs="Times New Roman"/>
          <w:b/>
          <w:color w:val="auto"/>
          <w:kern w:val="2"/>
          <w:sz w:val="40"/>
          <w:szCs w:val="21"/>
          <w:lang w:val="en-US" w:eastAsia="zh-CN" w:bidi="ar-SA"/>
        </w:rPr>
      </w:pPr>
      <w:r>
        <w:rPr>
          <w:rFonts w:hint="eastAsia" w:ascii="Times New Roman" w:hAnsi="Times New Roman" w:eastAsia="宋体" w:cs="Times New Roman"/>
          <w:b/>
          <w:color w:val="auto"/>
          <w:kern w:val="2"/>
          <w:sz w:val="40"/>
          <w:szCs w:val="21"/>
          <w:lang w:val="en-US" w:eastAsia="zh-CN" w:bidi="ar-SA"/>
        </w:rPr>
        <w:t>试验室环境下低轨卫星通信系统EMC仿真技术</w:t>
      </w:r>
    </w:p>
    <w:p w14:paraId="2C91A47E">
      <w:pPr>
        <w:pStyle w:val="12"/>
        <w:keepNext/>
        <w:keepLines/>
        <w:spacing w:beforeAutospacing="0" w:afterAutospacing="0" w:line="360" w:lineRule="auto"/>
        <w:ind w:firstLine="0" w:firstLineChars="0"/>
        <w:outlineLvl w:val="1"/>
        <w:rPr>
          <w:rFonts w:hint="default" w:ascii="Times New Roman" w:hAnsi="Times New Roman" w:cs="Times New Roman"/>
          <w:kern w:val="2"/>
          <w:sz w:val="32"/>
          <w:lang w:bidi="ar-SA"/>
        </w:rPr>
      </w:pPr>
      <w:r>
        <w:rPr>
          <w:rFonts w:hint="eastAsia" w:ascii="Times New Roman" w:hAnsi="Times New Roman" w:cs="Times New Roman"/>
          <w:kern w:val="2"/>
          <w:sz w:val="32"/>
          <w:lang w:val="en-US" w:eastAsia="zh-CN" w:bidi="ar-SA"/>
        </w:rPr>
        <w:t>摘要</w:t>
      </w:r>
      <w:r>
        <w:rPr>
          <w:rFonts w:hint="default" w:ascii="Times New Roman" w:hAnsi="Times New Roman" w:cs="Times New Roman"/>
          <w:kern w:val="2"/>
          <w:sz w:val="32"/>
          <w:lang w:bidi="ar-SA"/>
        </w:rPr>
        <w:t xml:space="preserve"> </w:t>
      </w:r>
    </w:p>
    <w:p w14:paraId="7985D5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随着低轨卫星通信系统的快速发展，其通信抗干扰性能及电磁兼容性（EMC）测试评估成为确保系统可靠性的关键环节。现有测试方法难以复现真实空间环境中多种干扰源耦合作用的综合效应，导致实验室测试结果与实际在轨性能存在较大偏差。因此，本研究旨在系统分析低轨卫星通信系统在典型应用场景下面临的复合电磁干扰特性，构建更加贴近实际的干扰模型，并在此基础上开发一套涵盖从单星基础参数到多星动态组网的全方位通信测试与评估方法。结合遗传算法和生成对抗网络等人工智能算法，生成一套典型的干扰用例生成方法，并探索干扰防护方案。同时，研究了各类主流专利技术与现行通信行业标准，本研究将涵盖整体EMC仿真技术，包括骚扰测量（如辐射杂散、传导骚扰）和抗扰度试验（如电磁辐射抗扰度、大电流注入）的仿真模拟，以全面提升低轨卫星系统在复杂电磁环境下的兼容性。通过此项研究，可为提升低轨卫星在复杂电磁环境下的通信可靠性提供关键技术支撑，并推动行业测试标准的完善。 </w:t>
      </w:r>
    </w:p>
    <w:p w14:paraId="0F7E921A">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1 国内外研究现状 </w:t>
      </w:r>
    </w:p>
    <w:p w14:paraId="31A91A7B">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1.1概述 </w:t>
      </w:r>
    </w:p>
    <w:p w14:paraId="2EC923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低轨卫星通信与测试的研究和标准的发展源头较早，可追溯至20世纪90年代的铱星系统，以国际电信联盟（ITU）的电磁兼容性标准和美国联邦通信委员会（FCC）的卫星设备环境测试为代表的基础标准，为高可靠性星载通信设备确立了早期的测试范式</w:t>
      </w:r>
      <w:r>
        <w:rPr>
          <w:rFonts w:hint="eastAsia" w:ascii="Times New Roman" w:hAnsi="Times New Roman" w:eastAsia="宋体" w:cs="Times New Roman"/>
          <w:sz w:val="24"/>
          <w:szCs w:val="24"/>
          <w:vertAlign w:val="superscript"/>
          <w:lang w:val="en-US" w:eastAsia="zh-CN"/>
        </w:rPr>
        <w:t>[1]</w:t>
      </w:r>
      <w:r>
        <w:rPr>
          <w:rFonts w:hint="eastAsia" w:ascii="Times New Roman" w:hAnsi="Times New Roman" w:eastAsia="宋体" w:cs="Times New Roman"/>
          <w:sz w:val="24"/>
          <w:szCs w:val="24"/>
          <w:lang w:val="en-US" w:eastAsia="zh-CN"/>
        </w:rPr>
        <w:t>。在此坚实的技术基础上，以Starlink、OneWeb为代表的全球低轨卫星星座计划正在加速部署，预计未来十年内将有数万颗低轨卫星被送入轨道随着低轨卫星的商业化普及，通信协议与频谱资源也呈现出开放化和多样化的趋势，如ITU组织所设立的一系列标准和协议已被适配用于卫星通信</w:t>
      </w:r>
      <w:r>
        <w:rPr>
          <w:rFonts w:hint="eastAsia" w:ascii="Times New Roman" w:hAnsi="Times New Roman" w:eastAsia="宋体" w:cs="Times New Roman"/>
          <w:sz w:val="24"/>
          <w:szCs w:val="24"/>
          <w:vertAlign w:val="superscript"/>
          <w:lang w:val="en-US" w:eastAsia="zh-CN"/>
        </w:rPr>
        <w:t>[2]</w:t>
      </w:r>
      <w:r>
        <w:rPr>
          <w:rFonts w:hint="eastAsia" w:ascii="Times New Roman" w:hAnsi="Times New Roman" w:eastAsia="宋体" w:cs="Times New Roman"/>
          <w:sz w:val="24"/>
          <w:szCs w:val="24"/>
          <w:lang w:val="en-US" w:eastAsia="zh-CN"/>
        </w:rPr>
        <w:t>；广泛普及的3GPP组织定义的LTE与5G蜂窝网络技术等</w:t>
      </w:r>
      <w:r>
        <w:rPr>
          <w:rFonts w:hint="eastAsia" w:ascii="Times New Roman" w:hAnsi="Times New Roman" w:eastAsia="宋体" w:cs="Times New Roman"/>
          <w:sz w:val="24"/>
          <w:szCs w:val="24"/>
          <w:vertAlign w:val="superscript"/>
          <w:lang w:val="en-US" w:eastAsia="zh-CN"/>
        </w:rPr>
        <w:t>[3]</w:t>
      </w:r>
      <w:r>
        <w:rPr>
          <w:rFonts w:hint="eastAsia" w:ascii="Times New Roman" w:hAnsi="Times New Roman" w:eastAsia="宋体" w:cs="Times New Roman"/>
          <w:sz w:val="24"/>
          <w:szCs w:val="24"/>
          <w:lang w:val="en-US" w:eastAsia="zh-CN"/>
        </w:rPr>
        <w:t xml:space="preserve">，为低轨卫星的超视距可靠通信与广域组网提供强大的基础设施支持。这些技术共同构成了当代低轨卫星通信多元化的发展图景。 </w:t>
      </w:r>
    </w:p>
    <w:p w14:paraId="4C41DA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在此国际技术背景驱动下，中国的低轨卫星通信系统及抗干扰测试技术的研究也日趋完善，这些技术的发展最终体现在行业标准体系的逐步建立：从YD/T 3908-2021《</w:t>
      </w:r>
      <w:r>
        <w:rPr>
          <w:rFonts w:hint="default" w:ascii="Times New Roman" w:hAnsi="Times New Roman" w:eastAsia="宋体" w:cs="Times New Roman"/>
          <w:sz w:val="24"/>
          <w:szCs w:val="24"/>
          <w:lang w:val="en-US" w:eastAsia="zh-CN"/>
        </w:rPr>
        <w:t>卫星移动通信终端通用技术要求和测试方法</w:t>
      </w:r>
      <w:r>
        <w:rPr>
          <w:rFonts w:hint="eastAsia" w:ascii="Times New Roman" w:hAnsi="Times New Roman" w:eastAsia="宋体" w:cs="Times New Roman"/>
          <w:sz w:val="24"/>
          <w:szCs w:val="24"/>
          <w:lang w:val="en-US" w:eastAsia="zh-CN"/>
        </w:rPr>
        <w:t>》（适配于卫星终端测试）</w:t>
      </w:r>
      <w:r>
        <w:rPr>
          <w:rFonts w:hint="eastAsia" w:ascii="Times New Roman" w:hAnsi="Times New Roman" w:eastAsia="宋体" w:cs="Times New Roman"/>
          <w:sz w:val="24"/>
          <w:szCs w:val="24"/>
          <w:vertAlign w:val="superscript"/>
          <w:lang w:val="en-US" w:eastAsia="zh-CN"/>
        </w:rPr>
        <w:t>[4]</w:t>
      </w:r>
      <w:r>
        <w:rPr>
          <w:rFonts w:hint="eastAsia" w:ascii="Times New Roman" w:hAnsi="Times New Roman" w:eastAsia="宋体" w:cs="Times New Roman"/>
          <w:sz w:val="24"/>
          <w:szCs w:val="24"/>
          <w:lang w:val="en-US" w:eastAsia="zh-CN"/>
        </w:rPr>
        <w:t>，到YD/T 1312.21-2024《</w:t>
      </w:r>
      <w:r>
        <w:rPr>
          <w:rFonts w:hint="default" w:ascii="Times New Roman" w:hAnsi="Times New Roman" w:eastAsia="宋体" w:cs="Times New Roman"/>
          <w:sz w:val="24"/>
          <w:szCs w:val="24"/>
          <w:lang w:val="en-US" w:eastAsia="zh-CN"/>
        </w:rPr>
        <w:t>无线通信设备电磁兼容性要求和测量方法 第21部分：S波段卫星通信终端及其辅助设备</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vertAlign w:val="superscript"/>
          <w:lang w:val="en-US" w:eastAsia="zh-CN"/>
        </w:rPr>
        <w:t>[5]</w:t>
      </w:r>
      <w:r>
        <w:rPr>
          <w:rFonts w:hint="eastAsia" w:ascii="Times New Roman" w:hAnsi="Times New Roman" w:eastAsia="宋体" w:cs="Times New Roman"/>
          <w:sz w:val="24"/>
          <w:szCs w:val="24"/>
          <w:lang w:val="en-US" w:eastAsia="zh-CN"/>
        </w:rPr>
        <w:t>，以及YD/T 4517.4-2024《</w:t>
      </w:r>
      <w:r>
        <w:rPr>
          <w:rFonts w:hint="default" w:ascii="Times New Roman" w:hAnsi="Times New Roman" w:eastAsia="宋体" w:cs="Times New Roman"/>
          <w:sz w:val="24"/>
          <w:szCs w:val="24"/>
          <w:lang w:val="en-US" w:eastAsia="zh-CN"/>
        </w:rPr>
        <w:t>车联网通信设备电磁兼容性要求和测量方法 第4部分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车载卫星通信设备</w:t>
      </w:r>
      <w:r>
        <w:rPr>
          <w:rFonts w:hint="eastAsia" w:ascii="Times New Roman" w:hAnsi="Times New Roman" w:eastAsia="宋体" w:cs="Times New Roman"/>
          <w:sz w:val="24"/>
          <w:szCs w:val="24"/>
          <w:lang w:val="en-US" w:eastAsia="zh-CN"/>
        </w:rPr>
        <w:t>》（适用于车载地轨卫星通信系统）</w:t>
      </w:r>
      <w:r>
        <w:rPr>
          <w:rFonts w:hint="eastAsia" w:ascii="Times New Roman" w:hAnsi="Times New Roman" w:eastAsia="宋体" w:cs="Times New Roman"/>
          <w:sz w:val="24"/>
          <w:szCs w:val="24"/>
          <w:vertAlign w:val="superscript"/>
          <w:lang w:val="en-US" w:eastAsia="zh-CN"/>
        </w:rPr>
        <w:t>[6]</w:t>
      </w:r>
      <w:r>
        <w:rPr>
          <w:rFonts w:hint="eastAsia" w:ascii="Times New Roman" w:hAnsi="Times New Roman" w:eastAsia="宋体" w:cs="Times New Roman"/>
          <w:sz w:val="24"/>
          <w:szCs w:val="24"/>
          <w:lang w:val="en-US" w:eastAsia="zh-CN"/>
        </w:rPr>
        <w:t>，标志着中国低轨卫星通信系统的研究标准体系完成了从方法指导、专业细化到安全强制的成熟闭环。</w:t>
      </w:r>
    </w:p>
    <w:p w14:paraId="0299F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Times New Roman"/>
          <w:sz w:val="24"/>
          <w:szCs w:val="24"/>
          <w:lang w:val="en-US" w:eastAsia="zh-CN"/>
        </w:rPr>
        <w:t xml:space="preserve">近年来，随着车载低轨卫星通信的兴起，行业标准进一步细化了EMC要求，强调从系统架构到硬件实现的闭环设计，为实验室仿真提供了标准化指引。当前，低轨卫星通信研究已从早期的“保证连通”转向“提升可靠性、效率和适应复杂空间场景”。随着5G/6G技术向低轨卫星通信系统延伸，以及多卫星协同任务的普及，研究焦点集中于信道测量与建模、抗干扰技术、动态组网协议及智能优化算法的应用。然而，该领域仍存在以下显著问题：其一，干扰场景特征库建设不足，不同轨道场景（如低轨、中轨、静地轨道）的频谱特征分散，缺乏统一标准与共享机制；其二，针对多卫星动态组网（如星间链路切换、多跳链路稳定性）的测试方法多停留在静态或理想化仿真阶段，未能充分利用AI算法生成极端测试用例；其三，实验室实测数据与仿真模型的参数对接存在“抽象偏差”，导致仿真结果难以直接指导实际在轨测试。此外，EMC仿真技术作为整体兼容性评估的核心，尚未系统集成到测试流程中，需结合正向设计原则弥补这一缺口。 </w:t>
      </w:r>
    </w:p>
    <w:p w14:paraId="709DE584">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1.2研究现状 </w:t>
      </w:r>
    </w:p>
    <w:p w14:paraId="6C65A8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今，国内外在低轨卫星通信抗干扰及EMC领域的研究主要针对两大问题：一是对于卫星与地面站或卫星之间点对点的通信，其易受空间环境的影响，如：电离层闪烁、多普勒频移、公网无线信号干扰、其他卫星系统的电磁辐射等，从而导致产生时延增加、丢包率上升等问题。</w:t>
      </w:r>
    </w:p>
    <w:p w14:paraId="661DF6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在国际研究层面，低轨卫星通信系统的EMC研究已从单一的链路分析发展为系统级的仿真与评估。ITU等国际组织的标准为低轨卫星通信系统的干扰分析方法提供了理论基础，来高效评估长期干扰统计特性</w:t>
      </w:r>
      <w:r>
        <w:rPr>
          <w:rFonts w:hint="eastAsia" w:ascii="Times New Roman" w:hAnsi="Times New Roman" w:eastAsia="宋体" w:cs="Times New Roman"/>
          <w:sz w:val="24"/>
          <w:szCs w:val="24"/>
          <w:vertAlign w:val="superscript"/>
          <w:lang w:val="en-US" w:eastAsia="zh-CN"/>
        </w:rPr>
        <w:t>[7]</w:t>
      </w:r>
      <w:r>
        <w:rPr>
          <w:rFonts w:hint="eastAsia" w:ascii="Times New Roman" w:hAnsi="Times New Roman" w:eastAsia="宋体" w:cs="Times New Roman"/>
          <w:sz w:val="24"/>
          <w:szCs w:val="24"/>
          <w:lang w:val="en-US" w:eastAsia="zh-CN"/>
        </w:rPr>
        <w:t>。美国团队提出LEO卫星集群抗干扰架构，通过分布式处理增强系统韧性</w:t>
      </w:r>
      <w:r>
        <w:rPr>
          <w:rFonts w:hint="eastAsia" w:ascii="Times New Roman" w:hAnsi="Times New Roman" w:eastAsia="宋体" w:cs="Times New Roman"/>
          <w:sz w:val="24"/>
          <w:szCs w:val="24"/>
          <w:vertAlign w:val="superscript"/>
          <w:lang w:val="en-US" w:eastAsia="zh-CN"/>
        </w:rPr>
        <w:t>[8]</w:t>
      </w:r>
      <w:r>
        <w:rPr>
          <w:rFonts w:hint="eastAsia" w:ascii="Times New Roman" w:hAnsi="Times New Roman" w:eastAsia="宋体" w:cs="Times New Roman"/>
          <w:sz w:val="24"/>
          <w:szCs w:val="24"/>
          <w:lang w:val="en-US" w:eastAsia="zh-CN"/>
        </w:rPr>
        <w:t>。在仿真平台建设方面，Visualyse、OPNET等专业仿真工具被广泛应用于卫星通信系统的EMC分析。这些平台提供了完整的物理层到网络层仿真能力，支持大规模星座的建模与仿真。特别值得一提的是，丰田公司开发的集成SUMO、OS³和OMNEST的仿真框架，能够有效评估车联网场景下LEO卫星通信的端到端性能，为星地一体化通信研究提供了重要参考</w:t>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lang w:val="en-US" w:eastAsia="zh-CN"/>
        </w:rPr>
        <w:t>。在物理层技术方面，Kim等人针对NB-IoT在LEO卫星通信中的上行链路，提出了增强DMRS符号与HARQ进程数以应对高多普勒频移与长时延</w:t>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lang w:val="en-US" w:eastAsia="zh-CN"/>
        </w:rPr>
        <w:t>。</w:t>
      </w:r>
    </w:p>
    <w:p w14:paraId="22635B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drawing>
          <wp:inline distT="0" distB="0" distL="114300" distR="114300">
            <wp:extent cx="5066665" cy="2560955"/>
            <wp:effectExtent l="0" t="0" r="635"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066665" cy="2560955"/>
                    </a:xfrm>
                    <a:prstGeom prst="rect">
                      <a:avLst/>
                    </a:prstGeom>
                    <a:noFill/>
                    <a:ln>
                      <a:noFill/>
                    </a:ln>
                  </pic:spPr>
                </pic:pic>
              </a:graphicData>
            </a:graphic>
          </wp:inline>
        </w:drawing>
      </w:r>
    </w:p>
    <w:p w14:paraId="72DE4447">
      <w:pPr>
        <w:pageBreakBefore w:val="0"/>
        <w:kinsoku/>
        <w:wordWrap/>
        <w:overflowPunct/>
        <w:topLinePunct w:val="0"/>
        <w:autoSpaceDE/>
        <w:autoSpaceDN/>
        <w:bidi w:val="0"/>
        <w:adjustRightInd/>
        <w:snapToGrid/>
        <w:spacing w:line="360" w:lineRule="auto"/>
        <w:ind w:firstLine="480"/>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图1 卫星通信系统OPNET仿真</w:t>
      </w:r>
    </w:p>
    <w:p w14:paraId="21FD28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在EMC专项研究方面，各行业均开始进行了自己的低轨卫星通信系统的EMC研究。例如车载低轨卫星通信系统EMC，比亚迪等企业通过波束赋形技术实现主动干扰抑制</w:t>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lang w:val="en-US" w:eastAsia="zh-CN"/>
        </w:rPr>
        <w:t>，一汽和吉利贡献了时域隔离</w:t>
      </w:r>
      <w:r>
        <w:rPr>
          <w:rFonts w:hint="eastAsia" w:ascii="Times New Roman" w:hAnsi="Times New Roman" w:eastAsia="宋体" w:cs="Times New Roman"/>
          <w:sz w:val="24"/>
          <w:szCs w:val="24"/>
          <w:vertAlign w:val="superscript"/>
          <w:lang w:val="en-US" w:eastAsia="zh-CN"/>
        </w:rPr>
        <w:t>[12]</w:t>
      </w:r>
      <w:r>
        <w:rPr>
          <w:rFonts w:hint="eastAsia" w:ascii="Times New Roman" w:hAnsi="Times New Roman" w:eastAsia="宋体" w:cs="Times New Roman"/>
          <w:sz w:val="24"/>
          <w:szCs w:val="24"/>
          <w:lang w:val="en-US" w:eastAsia="zh-CN"/>
        </w:rPr>
        <w:t>和资源调度策略</w:t>
      </w:r>
      <w:r>
        <w:rPr>
          <w:rFonts w:hint="eastAsia" w:ascii="Times New Roman" w:hAnsi="Times New Roman" w:eastAsia="宋体" w:cs="Times New Roman"/>
          <w:sz w:val="24"/>
          <w:szCs w:val="24"/>
          <w:vertAlign w:val="superscript"/>
          <w:lang w:val="en-US" w:eastAsia="zh-CN"/>
        </w:rPr>
        <w:t>[13]</w:t>
      </w:r>
      <w:r>
        <w:rPr>
          <w:rFonts w:hint="eastAsia" w:ascii="Times New Roman" w:hAnsi="Times New Roman" w:eastAsia="宋体" w:cs="Times New Roman"/>
          <w:sz w:val="24"/>
          <w:szCs w:val="24"/>
          <w:lang w:val="en-US" w:eastAsia="zh-CN"/>
        </w:rPr>
        <w:t xml:space="preserve">，这些专利技术为EMC仿真提供了实践基础。同时，标准YD/T 4517.4-2024等详细规定了骚扰测量和抗扰度试验的方法与限值，如辐射杂散骚扰限值在30MHz-1GHz为-36dBm，电磁辐射抗扰度试验场强为30V/m，为实验室仿真提供了量化基准。 </w:t>
      </w:r>
    </w:p>
    <w:p w14:paraId="61C096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二是，对于多卫星协同任务通信，组网通信面临星间链路动态变化、多跳链路不稳定、切换过程中断等特殊问题，也有许多研究者进行了相关研究。国内研究机构在低轨卫星通信系统EMC领域取得了显著进展。在频谱共用研究方面，中国联通研究院系统分析了5G与低轨卫星系统的频谱共享特性，提出了基于空间隔离和功率控制的干扰规避方案，为频率协调提供了技术依据</w:t>
      </w:r>
      <w:r>
        <w:rPr>
          <w:rFonts w:hint="eastAsia" w:ascii="Times New Roman" w:hAnsi="Times New Roman" w:eastAsia="宋体" w:cs="Times New Roman"/>
          <w:sz w:val="24"/>
          <w:szCs w:val="24"/>
          <w:vertAlign w:val="superscript"/>
          <w:lang w:val="en-US" w:eastAsia="zh-CN"/>
        </w:rPr>
        <w:t>[14]</w:t>
      </w:r>
      <w:r>
        <w:rPr>
          <w:rFonts w:hint="eastAsia" w:ascii="Times New Roman" w:hAnsi="Times New Roman" w:eastAsia="宋体" w:cs="Times New Roman"/>
          <w:sz w:val="24"/>
          <w:szCs w:val="24"/>
          <w:lang w:val="en-US" w:eastAsia="zh-CN"/>
        </w:rPr>
        <w:t>。华北电力大学基于Visualyse平台，对26GHz频段5G基站与卫星间业务的兼容性进行了仿真验证，为高频段频谱规划提供了数据支撑</w:t>
      </w:r>
      <w:r>
        <w:rPr>
          <w:rFonts w:hint="eastAsia" w:ascii="Times New Roman" w:hAnsi="Times New Roman" w:eastAsia="宋体" w:cs="Times New Roman"/>
          <w:sz w:val="24"/>
          <w:szCs w:val="24"/>
          <w:vertAlign w:val="superscript"/>
          <w:lang w:val="en-US" w:eastAsia="zh-CN"/>
        </w:rPr>
        <w:t>[15]</w:t>
      </w:r>
      <w:r>
        <w:rPr>
          <w:rFonts w:hint="eastAsia" w:ascii="Times New Roman" w:hAnsi="Times New Roman" w:eastAsia="宋体" w:cs="Times New Roman"/>
          <w:sz w:val="24"/>
          <w:szCs w:val="24"/>
          <w:lang w:val="en-US" w:eastAsia="zh-CN"/>
        </w:rPr>
        <w:t>。在仿真方法创新方面，北京邮电大学吕俊璋等人对空间概率统计方法进行了重要改进，提出了考虑网格尺寸精度复杂度的评估方法，创新性地发展了联合低轨卫星概率密度分布的自适应隔离角技术，显著提高了下行干扰规避的效率</w:t>
      </w:r>
      <w:r>
        <w:rPr>
          <w:rFonts w:hint="eastAsia" w:ascii="Times New Roman" w:hAnsi="Times New Roman" w:eastAsia="宋体" w:cs="Times New Roman"/>
          <w:sz w:val="24"/>
          <w:szCs w:val="24"/>
          <w:vertAlign w:val="superscript"/>
          <w:lang w:val="en-US" w:eastAsia="zh-CN"/>
        </w:rPr>
        <w:t>[16]</w:t>
      </w:r>
      <w:r>
        <w:rPr>
          <w:rFonts w:hint="eastAsia" w:ascii="Times New Roman" w:hAnsi="Times New Roman" w:eastAsia="宋体" w:cs="Times New Roman"/>
          <w:sz w:val="24"/>
          <w:szCs w:val="24"/>
          <w:lang w:val="en-US" w:eastAsia="zh-CN"/>
        </w:rPr>
        <w:t>。</w:t>
      </w:r>
    </w:p>
    <w:p w14:paraId="1BDFE3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ascii="宋体" w:hAnsi="宋体" w:eastAsia="宋体" w:cs="宋体"/>
          <w:sz w:val="24"/>
          <w:szCs w:val="24"/>
        </w:rPr>
        <w:drawing>
          <wp:inline distT="0" distB="0" distL="114300" distR="114300">
            <wp:extent cx="4821555" cy="2884170"/>
            <wp:effectExtent l="0" t="0" r="17145" b="1143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5"/>
                    <a:stretch>
                      <a:fillRect/>
                    </a:stretch>
                  </pic:blipFill>
                  <pic:spPr>
                    <a:xfrm>
                      <a:off x="0" y="0"/>
                      <a:ext cx="4821555" cy="2884170"/>
                    </a:xfrm>
                    <a:prstGeom prst="rect">
                      <a:avLst/>
                    </a:prstGeom>
                    <a:noFill/>
                    <a:ln w="9525">
                      <a:noFill/>
                    </a:ln>
                  </pic:spPr>
                </pic:pic>
              </a:graphicData>
            </a:graphic>
          </wp:inline>
        </w:drawing>
      </w:r>
      <w:r>
        <w:rPr>
          <w:rFonts w:hint="eastAsia" w:ascii="Times New Roman" w:hAnsi="Times New Roman" w:eastAsia="宋体" w:cs="Times New Roman"/>
          <w:sz w:val="24"/>
          <w:szCs w:val="24"/>
          <w:lang w:val="en-US" w:eastAsia="zh-CN"/>
        </w:rPr>
        <w:t xml:space="preserve">    </w:t>
      </w:r>
    </w:p>
    <w:p w14:paraId="3744091C">
      <w:pPr>
        <w:pageBreakBefore w:val="0"/>
        <w:kinsoku/>
        <w:wordWrap/>
        <w:overflowPunct/>
        <w:topLinePunct w:val="0"/>
        <w:autoSpaceDE/>
        <w:autoSpaceDN/>
        <w:bidi w:val="0"/>
        <w:adjustRightInd/>
        <w:snapToGrid/>
        <w:spacing w:line="360" w:lineRule="auto"/>
        <w:ind w:firstLine="48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1"/>
          <w:szCs w:val="21"/>
          <w:lang w:val="en-US" w:eastAsia="zh-CN"/>
        </w:rPr>
        <w:t>图2 低轨卫星通信系统示意图</w:t>
      </w:r>
    </w:p>
    <w:p w14:paraId="279EFE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此外，在硬件平台建设方面，国内主机厂发挥了重要作用。吉利科技集团开发的高度集成化车载卫星通信系统</w:t>
      </w:r>
      <w:r>
        <w:rPr>
          <w:rFonts w:hint="eastAsia" w:ascii="Times New Roman" w:hAnsi="Times New Roman" w:eastAsia="宋体" w:cs="Times New Roman"/>
          <w:sz w:val="24"/>
          <w:szCs w:val="24"/>
          <w:vertAlign w:val="superscript"/>
          <w:lang w:val="en-US" w:eastAsia="zh-CN"/>
        </w:rPr>
        <w:t>[17]</w:t>
      </w:r>
      <w:r>
        <w:rPr>
          <w:rFonts w:hint="eastAsia" w:ascii="Times New Roman" w:hAnsi="Times New Roman" w:eastAsia="宋体" w:cs="Times New Roman"/>
          <w:sz w:val="24"/>
          <w:szCs w:val="24"/>
          <w:lang w:val="en-US" w:eastAsia="zh-CN"/>
        </w:rPr>
        <w:t>，集成了人机交互设备、基带处理模块与多频段卫星天线，支持卫星与地面网络无缝切换。重庆长安科技有限公司研发的可插拔式卫星通讯终端</w:t>
      </w:r>
      <w:r>
        <w:rPr>
          <w:rFonts w:hint="eastAsia" w:ascii="Times New Roman" w:hAnsi="Times New Roman" w:eastAsia="宋体" w:cs="Times New Roman"/>
          <w:sz w:val="24"/>
          <w:szCs w:val="24"/>
          <w:vertAlign w:val="superscript"/>
          <w:lang w:val="en-US" w:eastAsia="zh-CN"/>
        </w:rPr>
        <w:t>[18]</w:t>
      </w:r>
      <w:r>
        <w:rPr>
          <w:rFonts w:hint="eastAsia" w:ascii="Times New Roman" w:hAnsi="Times New Roman" w:eastAsia="宋体" w:cs="Times New Roman"/>
          <w:sz w:val="24"/>
          <w:szCs w:val="24"/>
          <w:lang w:val="en-US" w:eastAsia="zh-CN"/>
        </w:rPr>
        <w:t>采用圆极化全向天线设计，工作频段覆盖L、S、C波段，通过快速插拔接口实现车载与离场景的灵活使用，为终端级EMC测试提供了便利条件。</w:t>
      </w:r>
    </w:p>
    <w:p w14:paraId="282BFFE2">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1.3发展趋势 </w:t>
      </w:r>
    </w:p>
    <w:p w14:paraId="535B48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综合国内外研究现状与技术痛点，低轨卫星通信抗干扰性能及EMC测试评估技术呈现以下四大发展趋势： </w:t>
      </w:r>
    </w:p>
    <w:p w14:paraId="528473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测试场景的精细化与标准化：未来研究将致力于构建跨轨道高度（如LEO、MEO、GSO）的标准干扰特征库，实现“场景特征-测试用例”的快速映射与复用，为测试提供统一基准。同时，EMC仿真将深度融合各通信行业标准，实现骚扰与抗扰度参数的标准化建模。 </w:t>
      </w:r>
    </w:p>
    <w:p w14:paraId="7DB155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智能算法的应用：遗传算法（GA）与生成对抗网络（GAN）等AI算法将深度赋能测试优化。通过遗传算法进行干扰特征的筛选和极端测试用例的生成，并也利用生成对抗网络生成极端干扰场景，最终形成低轨卫星动态场景下的测试用例生成方法，使得测试更加充分、更有效率。在EMC仿真中，AI可用于优化波束赋形和滤波设计，提升仿真效率。 </w:t>
      </w:r>
    </w:p>
    <w:p w14:paraId="7D052E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空-地”一体化测试验证与EMC闭环设计：随着低轨卫星通信蓬勃发展，低轨卫星通信测试将更加注重实测与仿真的验证。通过将点对点通信参数抽象为“可复用接口函数”，实现OPNET等仿真工具与实际硬件平台的“参数对齐”，使仿真结果能更精准地指导外场试验，降低成本与周期。同时，EMC正向设计理念将推动仿真从“事后整改”转向“源头预防”，通过系统级架构仿真规避干扰。 </w:t>
      </w:r>
    </w:p>
    <w:p w14:paraId="469EFF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面向新一代通信技术的演进与探索：面向6G等下一代通信技术的低轨卫星通信将向更高速率、更低时延、更高可靠性迈进，通信测试的重点也将从基础参数测量转向极端场景下的性能极限验证（如高动态轨道、强电磁脉冲干扰等）。EMC仿真将扩展至多物理场耦合分析，结合车载环境特性，实现全链路兼容性评估。 </w:t>
      </w:r>
    </w:p>
    <w:p w14:paraId="3DAB9216">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2 研究方案 </w:t>
      </w:r>
    </w:p>
    <w:p w14:paraId="2BBBAB02">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2.1研究目标及研究内容 </w:t>
      </w:r>
    </w:p>
    <w:p w14:paraId="34DBFF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旨在通过“实验测量-模型抽象-仿真推演-智能生成”，解决低轨卫星单星通信及多低轨卫星组网通信在复杂电磁环境下的测试与评估难题，并能以该框架获得低轨卫星通信抗干扰方案设计能力。同时，基于标准，集成EMC仿真技术，覆盖骚扰测量和抗扰度试验的全流程。核心研究内容如下： </w:t>
      </w:r>
    </w:p>
    <w:p w14:paraId="4426D6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通信链路性能的实验评估：通过构建微波暗室测试环境，对低轨卫星与地面站及卫星之间的通信链路进行全面量化测试，通过实验研究评估低轨卫星与地面站之间以及多低轨卫星之间的通信链路性能，可包括：低轨卫星通信基础参数测试、通信距离测试、通信带宽测试、通信延迟测试、通信丢包率测试、通信抗干扰测试、通信切换测试、多跳通信测试、多低轨卫星通信测试。 </w:t>
      </w:r>
    </w:p>
    <w:p w14:paraId="14A867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EMC仿真技术集成：可针对不同行业标准的低轨卫星通信系统的EMC要求，开发特定仿真模型，可包括骚扰测量仿真：模拟辐射杂散骚扰（机壳端口）、辐射骚扰、传导骚扰（电压法和电流法）等，依据行业标准限值进行虚拟测试。例如，在《</w:t>
      </w:r>
      <w:r>
        <w:rPr>
          <w:rFonts w:hint="default" w:ascii="Times New Roman" w:hAnsi="Times New Roman" w:eastAsia="宋体" w:cs="Times New Roman"/>
          <w:sz w:val="24"/>
          <w:szCs w:val="24"/>
          <w:lang w:val="en-US" w:eastAsia="zh-CN"/>
        </w:rPr>
        <w:t>车联网通信设备电磁兼容性要求和测量方法 第4部分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车载卫星通信设备</w:t>
      </w:r>
      <w:r>
        <w:rPr>
          <w:rFonts w:hint="eastAsia" w:ascii="Times New Roman" w:hAnsi="Times New Roman" w:eastAsia="宋体" w:cs="Times New Roman"/>
          <w:sz w:val="24"/>
          <w:szCs w:val="24"/>
          <w:lang w:val="en-US" w:eastAsia="zh-CN"/>
        </w:rPr>
        <w:t>》中辐射杂散骚扰仿真需覆盖30MHz-1GHz频段，限值-36dBm，并采用RMS检波器模型。抗扰度试验仿真：模拟电磁辐射抗扰度（30V/m场强）、大电流注入抗扰度（60mA电流）、静电放电抗扰度等，验证系统在干扰下的性能判据（如性能判据A要求吞吐量不低于95%）。</w:t>
      </w:r>
    </w:p>
    <w:p w14:paraId="3D0B7E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对于系统级EMC架构仿真：需结合EMC正向设计策略，如时域隔离、资源调度、波束赋形等功能，评估系统在复杂环境下的兼容性。 </w:t>
      </w:r>
    </w:p>
    <w:p w14:paraId="315E49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面向动态组网问题的智能测试场景生成：针对多低轨卫星组网通信的特殊问题：1.星间链路不断变化、2.多跳通信问题、3.切换通信问题等，研究分析其相对点到点低轨卫星通信场景的特殊性，进行网络仿真研究，并针对干扰场景对多跳的影响研究如何模拟干扰，针对干扰的不同场景的特征变化：Ku/Ka频段、公网、铁路、城市等场景建立基础特征库。使用特征库的不同频谱作为元素，利用人工智能遗传算法、生成对抗网络去训练寻找特征库组合对多低轨卫星通信链路中的多跳、切换问题具有最大影响的场景，从而为多低轨卫星的仿真和实际测试提供指导。 </w:t>
      </w:r>
    </w:p>
    <w:p w14:paraId="7B7E5F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可移植的测试用例生成方法研究：对上述智能算法训练产生的典型测试用例及其生成方程进行归纳与理论研究。目标是形成一套能够适配不同限定条件（如特定频段、干扰强度、拓扑结构）的、可移植的测试用例优化方法论，提升研究成果的普适性与复用价值。 </w:t>
      </w:r>
    </w:p>
    <w:p w14:paraId="06D41C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实测数据与仿真模型的接口校正：将实验室中测得的点对点通信参数，抽象并转化为仿真网络中可用的空口链路接口函数。此举旨在校正仿真模型中最为基础的节点通信行为，确保网络仿真的底层通信机制源于真实数据，从而为大规模、高复杂度的多低轨卫星组网仿真提供可靠的数据支撑与模型保障。通过校正仿真网络中的点对点的抽象接口函数，可以为仿真训练网络大的网络中最基础的两个节点的情况提供实际实验数据的支撑。 </w:t>
      </w:r>
    </w:p>
    <w:p w14:paraId="037EDB84">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2.2拟解决的关键问题及难点 </w:t>
      </w:r>
    </w:p>
    <w:p w14:paraId="1A8966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本研究的核心在于构建一个“实测-建模-仿真-优化”的研究框架，其中需要攻克以下三个关键科学与技术问题： </w:t>
      </w:r>
    </w:p>
    <w:p w14:paraId="21E37F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实测数据到仿真模型的接口抽象与精度保障问题：在微波暗室中获取的点对点通信参数是离散且场景受限的。如何将这些数据收集并在仿真中能够准确反映干扰强度、信道质量、通信性能等内在关联的、连续可调的接口函数，是本研究的首要难点。这要求模型不仅能拟合现有数据，还需具备一定的外推能力，以覆盖未在实验室直接测试的中间状态和极端情况。在EMC仿真中，难点在于将标准限值（如传导骚扰电流法限值在0.15-0.30 MHz为70 dBμA）转化为仿真约束，确保模型与实际测试一致性。 </w:t>
      </w:r>
    </w:p>
    <w:p w14:paraId="0A1923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复合干扰场景下测试用例的智能化生成与优化问题：多低轨卫星通信性能的劣化往往是多种干扰源（如GSO卫星同频干扰、地面5G邻频干扰、地面站接收干扰如铁路强电磁脉冲干扰）共同作用、非线性叠加的结果。穷举所有可能的组合在计算上是不可行的。如何利用遗传算法进行高效搜索，并借助生成对抗网络的生成能力，创造出对现有通信协议和算法威胁最大、最能暴露系统脆弱性的“极限压力测试场景”，并最终形成可解释、可配置的测试用例生成方程，是本研究的核心创新点，也是主要算法难点。</w:t>
      </w:r>
    </w:p>
    <w:p w14:paraId="76D53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智能化测试场景在仿真环境中的集成与验证问题：将上述数学方程描述的“最大影响干扰场景”在OPNET仿真器中准确、高效地复现出来，涉及对传统仿真通信过程的干预。如何设计一种干扰库注入接口，确保生成的动态干扰模式能够与仿真时间轴精准同步，并实时影响虚拟低轨卫星节点的通信链路，从而实现对多低轨卫星组网性能（如路由收敛时间、分组投递率）的可靠评估，并最终指导通信系统抗干扰方案设计是验证整个方法有效性的最终技术难关。对于EMC仿真，需开发专用模块模拟抗扰度试验（如大电流注入法），并验证特定标准中的性能判据，确保仿真结果与实验室测试可对标。 </w:t>
      </w:r>
    </w:p>
    <w:p w14:paraId="6FDF7C50">
      <w:pPr>
        <w:pStyle w:val="12"/>
        <w:keepNext/>
        <w:keepLines/>
        <w:spacing w:beforeAutospacing="0" w:afterAutospacing="0" w:line="360" w:lineRule="auto"/>
        <w:ind w:firstLine="0" w:firstLineChars="0"/>
        <w:outlineLvl w:val="2"/>
        <w:rPr>
          <w:rFonts w:hint="eastAsia" w:ascii="Times New Roman" w:hAnsi="Times New Roman"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 xml:space="preserve">2.3拟采用的研究方案 </w:t>
      </w:r>
    </w:p>
    <w:p w14:paraId="60CA6C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采用基于实验参数实际测量进行仿真节点库与接口函数、干扰特征库建立，并基于干扰特征库通过智能算法生成所需测试用例的“实验-建模-仿真-算法生成”的研究方案。同时，集成EMC仿真技术，形成闭环验证流程。 </w:t>
      </w:r>
    </w:p>
    <w:p w14:paraId="5F347C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实验参数测量分析，构建高精度基础数据集：在特定微波暗室：GNSS测试暗箱中，搭建由矢量信号分析仪、软件无线电平台及被测低轨卫星终端组成的测试环境。使用GNSS导航模拟器模拟低轨卫星通信系统工作时的状态，利用iperf3等数据流监测软件工具、Wireshark数据包抓取分析工具等精确时延与丢包，通过矢量信号分析仪监测信号频谱与质量，测量不同通信距离、信号带宽下的基础性能。引入模拟干扰源（5G信号发生器、GSO卫星干扰源、脉冲噪声模拟器），测量在不同类型、不同强度干扰下，低轨卫星通信的吞吐量下降、时延增加、误码率飙升等关键指标的动态变化，形成一份详实的、可用于模型校正的“信道干扰-性能响应”数据集。同时，依据不同行业标准，进行EMC基础测试，如辐射杂散骚扰测量，为仿真提供基准数据。 </w:t>
      </w:r>
    </w:p>
    <w:p w14:paraId="67340D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接口函数生成与EMC模型构建：基于实验数据，采用曲线拟合等方法，建立可移植的仿真基础，拟合成参数数学函数。对于更复杂的影响，可考虑建立基于信道状态信息的轻量级机器学习模型作为接口函数输出，生成一系列可嵌入OPNET节点的基于C/C++的接口函数。这些函数将以查表或节点库的形式，在仿真运行时根据当前信道条件和干扰配置，实时动态地调整点对点链路的丢包率和时延，从而将实验室的物理测量结果在仿真中复现。可针对EMC仿真，开发专用模块：如骚扰测量仿真模块：模拟辐射和传导骚扰的虚拟测试流程、抗扰度试验仿真模块：模拟电磁辐射抗扰度（30 V/m）、大电流注入（60mA）等场景，并嵌入性能判据验证逻辑。 </w:t>
      </w:r>
    </w:p>
    <w:p w14:paraId="67035F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（3）多低轨卫星通信仿真搭建高保真组网测试平台：在OPNET Modeler中，构建包含地面站、低轨卫星节点的仿真场景。每个低轨卫星节点的通信模块将集成步骤（2）中生成的接口函数。通过OPNET的进程模型和管道阶段编程，实现对路由协议的修改，以精确模拟多跳通信、链路切换等动态组网过程。设置低轨、中轨等多种典型轨道环境，模拟低轨卫星群的协同数据中继等任务为后续的干扰测试提供稳定的基准和多样化的组网背景。同时，集成EMC仿真模块，使平台能同步进行骚扰和抗扰度虚拟测试，实现通信与EMC的联合评估。 </w:t>
      </w:r>
    </w:p>
    <w:p w14:paraId="060F7E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算法生成优化与EMC用例生成：进行特征库构建，将各类干扰的特征（中心频率、带宽、功率、调制方式、时间模式）数字化，形成基础特征库。利用遗传算法优化：如以"对多跳通信时延/丢包率的影响最大”为适应度函数，将干扰特征的组合编码为染色体，通过选择、交叉、变异等操作，迭代搜索最优的干扰场景组合。生成对抗网络辅助：利用GAN的生成器，学习现有干扰特征的分布，并创造出新的、未曾出现在特征库中但符合物理规律的“虚拟干扰场景”，与遗传算法结合，探索更复杂的干扰空间。针对EMC仿真，将标准中的测试项目（如静电放电、沿电源线的电瞬态传导）作为特征元素，生成EMC测试用例，提升仿真覆盖度。 </w:t>
      </w:r>
    </w:p>
    <w:p w14:paraId="61D5D9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实现与验证：在OPNET仿真平台中，开发一个动态干扰注入接口，将步骤（4）生成的干扰场景动态地施加到指定的低轨卫星通信链路上。对比分析在“基准无干扰场景”、“常规干扰场景”和“智能生成的最大影响干扰场景”下，低轨卫星网络的端到端时延、丢包率、网络吞吐量等核心性能指标。并可在此基础上设计验证低轨卫星通信系统抗干扰方案的性能，通过显著的性能差异，验证所生成的测试用例的有效性和优越性。对于EMC仿真，验证结果需与标准限值对标，同时，通过正向设计策略的仿真验证（如波束赋形对辐射抗扰度的提升），形成闭环优化。 </w:t>
      </w:r>
    </w:p>
    <w:p w14:paraId="118F28C4">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3 预期达到的目标 </w:t>
      </w:r>
    </w:p>
    <w:p w14:paraId="330C92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本研究预期在理论方法、技术工具和数据集方面取得突破，形成一套系统的低轨卫星通信测试评估方案和用例生成方法，具体目标如下： </w:t>
      </w:r>
    </w:p>
    <w:p w14:paraId="2249C1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形成一套标准化的低轨卫星通信基础参数数据集和EMC仿真基准：通过严谨的微波暗室实验，获取一份包含距离、带宽、典型干扰（如多普勒频移、同频干扰）等多维度的低轨卫星点对点通信性能数据集，为同行研究提供基准参考。同时，基于行业标准，建立EMC骚扰与抗扰度参数的标准化数据集，支持仿真模型校正。 </w:t>
      </w:r>
    </w:p>
    <w:p w14:paraId="0DE219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建立准确的“实测-仿真”接口模型和EMC仿真平台：成功开发并验证一组高精度的通信接口函数，实现实验室数据与OPNET网络仿真的无缝衔接，提升仿真结果的可信度。扩展至不同EMC仿真模块，实现骚扰测量和抗扰度试验的虚拟化，使仿真平台能全面覆盖标准要求。 </w:t>
      </w:r>
    </w:p>
    <w:p w14:paraId="587C2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构建一个智能化的低轨卫星通信压力测试系统：最终形成一个由干扰特征库、智能用例生成算法（含方程）和OPNET仿真平台共同构成的集成系统，该系统能够根据用户设定的关注点（如切换成功率、多跳稳定性），自动生成并执行“最恶劣”的测试场景，极大提升测试效率与深度以及抗干扰方案性能。集成具有针对性的EMC仿真后，系统可额外输出EMC兼容性评分，为不同应用，如车载环境等提供鲁棒性保障。 </w:t>
      </w:r>
    </w:p>
    <w:p w14:paraId="6E1770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产出对工业界有指导意义的研究结论：通过系统性仿真测试，揭示单低轨卫星通信与多低轨卫星组网在复合干扰下的性能瓶颈与失效机理，为低轨卫星通信协议的优化设计、抗干扰技术的研发提供明确的数据支撑和方向指引。同时，EMC仿真结论可指导不同场景下低轨卫星通信系统的EMC正向设计，如车载低轨卫星通信系统的正向设计，推动行业标准落地。 </w:t>
      </w:r>
    </w:p>
    <w:p w14:paraId="647C43F8">
      <w:pPr>
        <w:pStyle w:val="12"/>
        <w:keepNext/>
        <w:keepLines/>
        <w:spacing w:beforeAutospacing="0" w:afterAutospacing="0" w:line="360" w:lineRule="auto"/>
        <w:ind w:firstLine="0" w:firstLineChars="0"/>
        <w:outlineLvl w:val="1"/>
        <w:rPr>
          <w:rFonts w:hint="eastAsia" w:ascii="Times New Roman" w:hAnsi="Times New Roman" w:cs="Times New Roman"/>
          <w:kern w:val="2"/>
          <w:sz w:val="32"/>
          <w:lang w:val="en-US" w:eastAsia="zh-CN" w:bidi="ar-SA"/>
        </w:rPr>
      </w:pPr>
      <w:r>
        <w:rPr>
          <w:rFonts w:hint="eastAsia" w:ascii="Times New Roman" w:hAnsi="Times New Roman" w:cs="Times New Roman"/>
          <w:kern w:val="2"/>
          <w:sz w:val="32"/>
          <w:lang w:val="en-US" w:eastAsia="zh-CN" w:bidi="ar-SA"/>
        </w:rPr>
        <w:t xml:space="preserve">参考文献 </w:t>
      </w:r>
    </w:p>
    <w:p w14:paraId="402DB44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Vladimir Mordachev, Dzmitry Tsyanenka, Aliaksandr Svistunou. Characteristics of Electromagnetic Environment Created by Communication Low Earth Orbit Satellite Systems Near the Earth’s Surface[C]//2024 International Symposium on Electromagnetic Compatibility – EMC Europe. 2024:1178-1183. </w:t>
      </w:r>
    </w:p>
    <w:p w14:paraId="1B93029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Jing Ma, Lei</w:t>
      </w:r>
      <w:r>
        <w:rPr>
          <w:rFonts w:hint="eastAsia" w:ascii="Times New Roman" w:hAnsi="Times New Roman" w:eastAsia="宋体" w:cs="Times New Roman"/>
          <w:sz w:val="24"/>
          <w:szCs w:val="20"/>
          <w:lang w:val="en-US" w:eastAsia="zh-CN"/>
        </w:rPr>
        <w:t xml:space="preserve"> </w:t>
      </w:r>
      <w:r>
        <w:rPr>
          <w:rFonts w:hint="default" w:ascii="Times New Roman" w:hAnsi="Times New Roman" w:eastAsia="宋体" w:cs="Times New Roman"/>
          <w:sz w:val="24"/>
          <w:szCs w:val="20"/>
          <w:lang w:val="en-US" w:eastAsia="zh-CN"/>
        </w:rPr>
        <w:t>Zhong,</w:t>
      </w:r>
      <w:r>
        <w:rPr>
          <w:rFonts w:hint="eastAsia" w:ascii="Times New Roman" w:hAnsi="Times New Roman" w:eastAsia="宋体" w:cs="Times New Roman"/>
          <w:sz w:val="24"/>
          <w:szCs w:val="20"/>
          <w:lang w:val="en-US" w:eastAsia="zh-CN"/>
        </w:rPr>
        <w:t xml:space="preserve"> </w:t>
      </w:r>
      <w:r>
        <w:rPr>
          <w:rFonts w:hint="default" w:ascii="Times New Roman" w:hAnsi="Times New Roman" w:eastAsia="宋体" w:cs="Times New Roman"/>
          <w:sz w:val="24"/>
          <w:szCs w:val="20"/>
          <w:lang w:val="en-US" w:eastAsia="zh-CN"/>
        </w:rPr>
        <w:t xml:space="preserve">Ryokichi Onishi. LEO Satellite Communication Simulation Framework for Connected Vehicles[C]//2023 IEEE Global Communications Conference: GLOBECOM 2023, Kuala Lumpur, Malaysia, 4-8 December 2023, [v.1]. 2023:6597-6602. </w:t>
      </w:r>
    </w:p>
    <w:p w14:paraId="63BE9D64">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bookmarkStart w:id="0" w:name="_Ref67"/>
      <w:r>
        <w:rPr>
          <w:rFonts w:ascii="Times New Roman" w:hAnsi="Times New Roman" w:eastAsia="宋体" w:cs="Times New Roman"/>
          <w:sz w:val="24"/>
          <w:szCs w:val="20"/>
        </w:rPr>
        <w:t>3GPP TR 36.777 Study on Enhanced LTE Support for Aerial Vehicles (Release 15)[S]. 2018.</w:t>
      </w:r>
      <w:bookmarkEnd w:id="0"/>
    </w:p>
    <w:p w14:paraId="6F3E8CE8">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中国通信标准化协会. 卫星移动通信终端通用技术要求和测试方法:YD/T 3908-2021[S]. 2021.</w:t>
      </w:r>
    </w:p>
    <w:p w14:paraId="318F8C15">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无线通信设备电磁兼容性要求和测量方法 第21部分：S波段卫星通信终端及其辅助设备:YD/T 1312.21-2024[S]. 2024.</w:t>
      </w:r>
    </w:p>
    <w:p w14:paraId="183FA270">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车联网通信设备电磁兼容性要求和测量方法 第4部分：车载卫星通信设备:YD/T 4517.4-2024[S]. 2024.</w:t>
      </w:r>
    </w:p>
    <w:p w14:paraId="624A1AC8">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lang w:val="en-US" w:eastAsia="zh-CN"/>
        </w:rPr>
        <w:t>] ITU - R S . 1324 : Analytical method for estimating interference between non- geo stationary mobile - satellite feeder links and geo stationary fixed- satellite networks operating co - frequency and codirectionally : Recommendation [S].Geneva:ITU,1997.</w:t>
      </w:r>
    </w:p>
    <w:p w14:paraId="265AC68C">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V. S. R. Kantheti, C. -H. Lin, S. -C. Lin and L. C. Chu, "Anti-Jamming Resilient LEO Satellite Swarms," MILCOM 2023 - 2023 IEEE Military Communications Conference (MILCOM), Boston, MA, USA, 2023, pp. 77-82, doi: 10.1109/MILCOM58377.2023.10356296. keywords: {Wireless communication;Satellite broadcasting;Low earth orbit satellites;Channel estimation;Receivers;Robustness;Real-time systems;Low earth orbit satellite communication;satellite swarms;eigen-spatial processing;receiver diversity;anti-jamming;and hardware-in-the-loop testbed},</w:t>
      </w:r>
    </w:p>
    <w:p w14:paraId="16E1F9A1">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J. Ma, L. Zhong and R. Onishi, "LEO Satellite Communication Simulation Framework for Connected Vehicles," GLOBECOM 2023 - 2023 IEEE Global Communications Conference, Kuala Lumpur, Malaysia, 2023, pp. 6597-6602, doi: 10.1109/GLOBECOM54140.2023.10437236. keywords: {Satellite constellations;Connected vehicles;Satellites;Low earth orbit satellites;Throughput;Surges;Satellite communication;LEO satellite;simulation;connected vehicles},</w:t>
      </w:r>
    </w:p>
    <w:p w14:paraId="46DE9107">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Min-</w:t>
      </w:r>
      <w:bookmarkStart w:id="1" w:name="_GoBack"/>
      <w:bookmarkEnd w:id="1"/>
      <w:r>
        <w:rPr>
          <w:rFonts w:hint="default" w:ascii="Times New Roman" w:hAnsi="Times New Roman" w:eastAsia="宋体" w:cs="Times New Roman"/>
          <w:sz w:val="24"/>
          <w:szCs w:val="20"/>
          <w:lang w:val="en-US" w:eastAsia="zh-CN"/>
        </w:rPr>
        <w:t xml:space="preserve">Gyu Kim and Han-Shin Jo, "Problem and solution for NB-IoT uplink in Low Earth Orbit satellite communication," 2022 International Conference on Electronics, Information, and Communication, 2022. </w:t>
      </w:r>
    </w:p>
    <w:p w14:paraId="44CA1793">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rPr>
        <w:t>一汽解放汽车有限公司. 基于卫星通信的车联网数据压缩方法、装置、设备和介质:CN202510556745.4[P]. 2025-07-18.</w:t>
      </w:r>
    </w:p>
    <w:p w14:paraId="34C83859">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中国第一汽车股份有限公司. 车辆卫星定位的控制方法、装置、设备、存储介质及产品:CN202410892217.1[P]. 2024-11-22.</w:t>
      </w:r>
    </w:p>
    <w:p w14:paraId="2085DD73">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比亚迪股份有限公司. 车辆卫星天线角度调整方法、装置和车辆:CN202411755347.7[P]. 2025-04-11.</w:t>
      </w:r>
    </w:p>
    <w:p w14:paraId="7EA270DF">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比亚迪股份有限公司. 车载卫星通信系统、方法、设备、存储介质、程序产品和车辆:CN202411150513.0[P]. 2024-12-27.</w:t>
      </w:r>
    </w:p>
    <w:p w14:paraId="70C05E20">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 xml:space="preserve">比亚迪股份有限公司. 卫星通信方法、存储介质、控制器及车辆:CN202510901536.9[P]. 2025-10-17. </w:t>
      </w:r>
    </w:p>
    <w:p w14:paraId="4B8FFC99">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牛憶莹，周瑶，刘吉凤，李福昌, "面向5G与低轨卫星网络融合的频谱共用研究," 移动通信, 2022. </w:t>
      </w:r>
    </w:p>
    <w:p w14:paraId="265DDC46">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邓子龙,潘祯,王坦,等. 基于Visualyse的5G基站与卫星间业务电磁兼容仿真分析[J]. 中国无线电,2018(10):59-63. DOI:10.3969/j.issn.1672-7797.2018.10.034.</w:t>
      </w:r>
    </w:p>
    <w:p w14:paraId="1E02AFF9">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吕俊璋, "面向低轨卫星星座系统的电磁兼容分析与研究," 北京邮电大学硕士学位论文, 2023. </w:t>
      </w:r>
    </w:p>
    <w:p w14:paraId="5FE83B51">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浙江吉利控股集团有限公司,杭州吉利汽车研究开发有限公司. 车辆卫星通讯方法、装置、设备及计算机可读存储介质:CN202210705101.3[P]. 2022-09-27. </w:t>
      </w:r>
    </w:p>
    <w:p w14:paraId="184F3DB0">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吉利科技集团有限公司,浙江极氪智能科技有限公司,浙江吉利控股集团有限公司. 车载卫星通信系统及车辆:CN202111272674.3[P]. 2022-03-18. </w:t>
      </w:r>
    </w:p>
    <w:p w14:paraId="2BFB75D7">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浙江吉利汽车研究院有限公司,浙江吉利控股集团有限公司. 一种行驶行为的确定方法、装置、车辆及存储介质:CN201911354166.2[P]. 2020-04-24.</w:t>
      </w:r>
    </w:p>
    <w:p w14:paraId="5FC0691A">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浙江极氪智能科技有限公司,浙江吉利控股集团有限公司. 车辆通信方法、装置、终端设备以及存储介质:CN202411085031.1[P]. 2024-10-08.</w:t>
      </w:r>
    </w:p>
    <w:p w14:paraId="305974CE">
      <w:pPr>
        <w:numPr>
          <w:ilvl w:val="0"/>
          <w:numId w:val="1"/>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rPr>
        <w:t>浙江极氪智能科技有限公司,浙江吉利控股集团有限公司. 基于卫星的通信方法、装置、设备及存储介质:CN202410300178.1[P]. 2024-06-14.</w:t>
      </w:r>
    </w:p>
    <w:p w14:paraId="4AC79DF1">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付春鑫.基于多频干扰的低轨遥感卫星电磁兼容技术研究[D].南京信息工程大学,2022.DOI:10.27248/d.cnki.gnjqc.2022.000245.</w:t>
      </w:r>
    </w:p>
    <w:p w14:paraId="29B0A610">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车载卫星通信系统收发能力下线检测方法、装置、设备及介质:CN202510276892.6[P]. 2025-06-06.</w:t>
      </w:r>
    </w:p>
    <w:p w14:paraId="540D8F9E">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车载卫星通信方法、装置、设备及存储介质:CN202411493441.X[P]. 2025-01-24.</w:t>
      </w:r>
    </w:p>
    <w:p w14:paraId="3FA7902D">
      <w:pPr>
        <w:numPr>
          <w:ilvl w:val="0"/>
          <w:numId w:val="1"/>
        </w:numPr>
        <w:spacing w:line="360" w:lineRule="auto"/>
        <w:ind w:left="442" w:hanging="442"/>
        <w:jc w:val="left"/>
        <w:rPr>
          <w:rFonts w:hint="eastAsia" w:ascii="Times New Roman" w:hAnsi="Times New Roman" w:eastAsia="宋体" w:cs="Times New Roman"/>
          <w:sz w:val="24"/>
          <w:szCs w:val="20"/>
        </w:rPr>
      </w:pPr>
      <w:r>
        <w:rPr>
          <w:rFonts w:hint="default" w:ascii="Times New Roman" w:hAnsi="Times New Roman" w:eastAsia="宋体" w:cs="Times New Roman"/>
          <w:sz w:val="24"/>
          <w:szCs w:val="20"/>
          <w:lang w:val="en-US" w:eastAsia="zh-CN"/>
        </w:rPr>
        <w:t>重庆长安科技有限责任公司. 卫星通讯终端及车辆:CN202421143420.0[P]. 2025-01-28.</w:t>
      </w:r>
    </w:p>
    <w:p w14:paraId="14353A6F">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重庆长安汽车股份有限公司. 基于低轨卫星的车载通信方法、系统及车载控制设备:CN202311559261.2[P]. 2025-05-23.</w:t>
      </w:r>
    </w:p>
    <w:p w14:paraId="113ED7EC">
      <w:pPr>
        <w:numPr>
          <w:ilvl w:val="0"/>
          <w:numId w:val="1"/>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ITU-R.</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"Technical and operat</w:t>
      </w:r>
      <w:r>
        <w:rPr>
          <w:rFonts w:hint="eastAsia" w:ascii="Times New Roman" w:hAnsi="Times New Roman" w:eastAsia="宋体" w:cs="Times New Roman"/>
          <w:sz w:val="24"/>
          <w:szCs w:val="20"/>
          <w:lang w:val="en-US" w:eastAsia="zh-CN"/>
        </w:rPr>
        <w:t>i</w:t>
      </w:r>
      <w:r>
        <w:rPr>
          <w:rFonts w:hint="eastAsia" w:ascii="Times New Roman" w:hAnsi="Times New Roman" w:eastAsia="宋体" w:cs="Times New Roman"/>
          <w:sz w:val="24"/>
          <w:szCs w:val="20"/>
        </w:rPr>
        <w:t>onal requirements</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that facilitate sharing between point-to</w:t>
      </w:r>
      <w:r>
        <w:rPr>
          <w:rFonts w:hint="eastAsia" w:ascii="Times New Roman" w:hAnsi="Times New Roman" w:eastAsia="宋体" w:cs="Times New Roman"/>
          <w:sz w:val="24"/>
          <w:szCs w:val="20"/>
          <w:lang w:val="en-US" w:eastAsia="zh-CN"/>
        </w:rPr>
        <w:t>-</w:t>
      </w:r>
      <w:r>
        <w:rPr>
          <w:rFonts w:hint="eastAsia" w:ascii="Times New Roman" w:hAnsi="Times New Roman" w:eastAsia="宋体" w:cs="Times New Roman"/>
          <w:sz w:val="24"/>
          <w:szCs w:val="20"/>
        </w:rPr>
        <w:t>multipoint syste</w:t>
      </w:r>
      <w:r>
        <w:rPr>
          <w:rFonts w:hint="eastAsia" w:ascii="Times New Roman" w:hAnsi="Times New Roman" w:eastAsia="宋体" w:cs="Times New Roman"/>
          <w:sz w:val="24"/>
          <w:szCs w:val="20"/>
          <w:lang w:val="en-US" w:eastAsia="zh-CN"/>
        </w:rPr>
        <w:t>m</w:t>
      </w:r>
      <w:r>
        <w:rPr>
          <w:rFonts w:hint="eastAsia" w:ascii="Times New Roman" w:hAnsi="Times New Roman" w:eastAsia="宋体" w:cs="Times New Roman"/>
          <w:sz w:val="24"/>
          <w:szCs w:val="20"/>
        </w:rPr>
        <w:t>s</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in the fixed service and the inter-satellite service in the band</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25</w:t>
      </w:r>
      <w:r>
        <w:rPr>
          <w:rFonts w:hint="eastAsia" w:ascii="Times New Roman" w:hAnsi="Times New Roman" w:eastAsia="宋体" w:cs="Times New Roman"/>
          <w:sz w:val="24"/>
          <w:szCs w:val="20"/>
          <w:lang w:val="en-US" w:eastAsia="zh-CN"/>
        </w:rPr>
        <w:t>.</w:t>
      </w:r>
      <w:r>
        <w:rPr>
          <w:rFonts w:hint="eastAsia" w:ascii="Times New Roman" w:hAnsi="Times New Roman" w:eastAsia="宋体" w:cs="Times New Roman"/>
          <w:sz w:val="24"/>
          <w:szCs w:val="20"/>
        </w:rPr>
        <w:t>25-27.5 GHz”</w:t>
      </w: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Recommendation ITU-R F.1509-3,2015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60190"/>
    <w:multiLevelType w:val="multilevel"/>
    <w:tmpl w:val="42160190"/>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77C9"/>
    <w:rsid w:val="006E6BD4"/>
    <w:rsid w:val="00E84814"/>
    <w:rsid w:val="024617F2"/>
    <w:rsid w:val="02DA04C1"/>
    <w:rsid w:val="04074FB1"/>
    <w:rsid w:val="043F0BEF"/>
    <w:rsid w:val="049F343C"/>
    <w:rsid w:val="07B05960"/>
    <w:rsid w:val="07FE2B6F"/>
    <w:rsid w:val="085B1D6F"/>
    <w:rsid w:val="08DF474E"/>
    <w:rsid w:val="096F5AD2"/>
    <w:rsid w:val="0A621193"/>
    <w:rsid w:val="0BDF7179"/>
    <w:rsid w:val="0C4164BA"/>
    <w:rsid w:val="0C547201"/>
    <w:rsid w:val="0D0F4ED6"/>
    <w:rsid w:val="0D35493D"/>
    <w:rsid w:val="0DBF4B4E"/>
    <w:rsid w:val="0E5C7B29"/>
    <w:rsid w:val="0E83792A"/>
    <w:rsid w:val="0EF651B0"/>
    <w:rsid w:val="0F1D38DB"/>
    <w:rsid w:val="0F3330FE"/>
    <w:rsid w:val="0F6239E3"/>
    <w:rsid w:val="0FA7030F"/>
    <w:rsid w:val="0FE8038D"/>
    <w:rsid w:val="0FF02D9D"/>
    <w:rsid w:val="10C34956"/>
    <w:rsid w:val="12C549B5"/>
    <w:rsid w:val="141D612B"/>
    <w:rsid w:val="14EB6229"/>
    <w:rsid w:val="15393438"/>
    <w:rsid w:val="15C26F8A"/>
    <w:rsid w:val="15D53161"/>
    <w:rsid w:val="16B0772A"/>
    <w:rsid w:val="16ED44DA"/>
    <w:rsid w:val="17342109"/>
    <w:rsid w:val="17E92EF4"/>
    <w:rsid w:val="187F5606"/>
    <w:rsid w:val="1886196B"/>
    <w:rsid w:val="1AF04599"/>
    <w:rsid w:val="1B177D78"/>
    <w:rsid w:val="1B7E7DF7"/>
    <w:rsid w:val="1C281B11"/>
    <w:rsid w:val="1C527C03"/>
    <w:rsid w:val="1CE343B6"/>
    <w:rsid w:val="1CF24B86"/>
    <w:rsid w:val="1D350989"/>
    <w:rsid w:val="1D790876"/>
    <w:rsid w:val="1D8904C6"/>
    <w:rsid w:val="1ED63AA6"/>
    <w:rsid w:val="21F42BC1"/>
    <w:rsid w:val="221768AF"/>
    <w:rsid w:val="22852EB4"/>
    <w:rsid w:val="22853819"/>
    <w:rsid w:val="22CC1448"/>
    <w:rsid w:val="23D26F32"/>
    <w:rsid w:val="24AA3A0B"/>
    <w:rsid w:val="25A77F4A"/>
    <w:rsid w:val="261E020C"/>
    <w:rsid w:val="26B33720"/>
    <w:rsid w:val="275F0ADD"/>
    <w:rsid w:val="277D71B5"/>
    <w:rsid w:val="28F6721F"/>
    <w:rsid w:val="2BF11F1F"/>
    <w:rsid w:val="2C1A76C8"/>
    <w:rsid w:val="2CB01DDA"/>
    <w:rsid w:val="2D4F15F3"/>
    <w:rsid w:val="2E933762"/>
    <w:rsid w:val="2EC75E0F"/>
    <w:rsid w:val="31F91B2E"/>
    <w:rsid w:val="323460BD"/>
    <w:rsid w:val="33044C2E"/>
    <w:rsid w:val="335E1684"/>
    <w:rsid w:val="346D235F"/>
    <w:rsid w:val="35273FF1"/>
    <w:rsid w:val="35417A73"/>
    <w:rsid w:val="36663A7A"/>
    <w:rsid w:val="3902576C"/>
    <w:rsid w:val="39DE7F87"/>
    <w:rsid w:val="3C3245BA"/>
    <w:rsid w:val="3CC1149A"/>
    <w:rsid w:val="3E6B5B61"/>
    <w:rsid w:val="3FE43E1D"/>
    <w:rsid w:val="41384420"/>
    <w:rsid w:val="42440BA3"/>
    <w:rsid w:val="42534944"/>
    <w:rsid w:val="42D068DB"/>
    <w:rsid w:val="436A288B"/>
    <w:rsid w:val="44472BCC"/>
    <w:rsid w:val="445157F9"/>
    <w:rsid w:val="449776B0"/>
    <w:rsid w:val="4688264D"/>
    <w:rsid w:val="46916381"/>
    <w:rsid w:val="46CC1167"/>
    <w:rsid w:val="47482EE3"/>
    <w:rsid w:val="47947ED7"/>
    <w:rsid w:val="47D97FDF"/>
    <w:rsid w:val="48C10A80"/>
    <w:rsid w:val="48C12F4D"/>
    <w:rsid w:val="49DB003F"/>
    <w:rsid w:val="4A45370A"/>
    <w:rsid w:val="4BB46D99"/>
    <w:rsid w:val="4F075432"/>
    <w:rsid w:val="4F701229"/>
    <w:rsid w:val="4FDD6193"/>
    <w:rsid w:val="509947B0"/>
    <w:rsid w:val="51501312"/>
    <w:rsid w:val="519F5DF6"/>
    <w:rsid w:val="5406215C"/>
    <w:rsid w:val="54181E8F"/>
    <w:rsid w:val="55F47291"/>
    <w:rsid w:val="56D976B4"/>
    <w:rsid w:val="59570D64"/>
    <w:rsid w:val="598F49A2"/>
    <w:rsid w:val="5A5B4884"/>
    <w:rsid w:val="5ADF7263"/>
    <w:rsid w:val="5AF30F60"/>
    <w:rsid w:val="5B21454D"/>
    <w:rsid w:val="5B231846"/>
    <w:rsid w:val="5BAD55B3"/>
    <w:rsid w:val="5BE2525D"/>
    <w:rsid w:val="5D0631CD"/>
    <w:rsid w:val="5D3A2E77"/>
    <w:rsid w:val="5D577585"/>
    <w:rsid w:val="5E2A4C99"/>
    <w:rsid w:val="5E96232F"/>
    <w:rsid w:val="5EBA601D"/>
    <w:rsid w:val="5F8E3006"/>
    <w:rsid w:val="615F4C5A"/>
    <w:rsid w:val="618B3CA1"/>
    <w:rsid w:val="62620EA5"/>
    <w:rsid w:val="63350368"/>
    <w:rsid w:val="637A221F"/>
    <w:rsid w:val="63F55D49"/>
    <w:rsid w:val="64964E36"/>
    <w:rsid w:val="64D67929"/>
    <w:rsid w:val="656C203B"/>
    <w:rsid w:val="65B337C6"/>
    <w:rsid w:val="65CE23AE"/>
    <w:rsid w:val="66384C15"/>
    <w:rsid w:val="66544FA9"/>
    <w:rsid w:val="67143A20"/>
    <w:rsid w:val="678A0557"/>
    <w:rsid w:val="685C6397"/>
    <w:rsid w:val="687A4A6F"/>
    <w:rsid w:val="68C662CD"/>
    <w:rsid w:val="69AC6EAA"/>
    <w:rsid w:val="6A58493C"/>
    <w:rsid w:val="6A8A71EB"/>
    <w:rsid w:val="6B252A70"/>
    <w:rsid w:val="6C953C26"/>
    <w:rsid w:val="6D5E7E22"/>
    <w:rsid w:val="6DA22A9E"/>
    <w:rsid w:val="6DB85E1E"/>
    <w:rsid w:val="6E1A2769"/>
    <w:rsid w:val="701D28B0"/>
    <w:rsid w:val="70567B70"/>
    <w:rsid w:val="70B7060E"/>
    <w:rsid w:val="716562BC"/>
    <w:rsid w:val="71775FF0"/>
    <w:rsid w:val="720535FB"/>
    <w:rsid w:val="725D3437"/>
    <w:rsid w:val="72620A4E"/>
    <w:rsid w:val="72966949"/>
    <w:rsid w:val="73123C8F"/>
    <w:rsid w:val="738F7621"/>
    <w:rsid w:val="74F10EB2"/>
    <w:rsid w:val="75596138"/>
    <w:rsid w:val="75862CA5"/>
    <w:rsid w:val="764C7A4B"/>
    <w:rsid w:val="77950F7E"/>
    <w:rsid w:val="77A64F39"/>
    <w:rsid w:val="77DC4DFE"/>
    <w:rsid w:val="78582600"/>
    <w:rsid w:val="78DD498A"/>
    <w:rsid w:val="79294073"/>
    <w:rsid w:val="79D33FDF"/>
    <w:rsid w:val="7AC73B44"/>
    <w:rsid w:val="7AE5221C"/>
    <w:rsid w:val="7AE5762D"/>
    <w:rsid w:val="7AEA338E"/>
    <w:rsid w:val="7B1623D5"/>
    <w:rsid w:val="7B4038F6"/>
    <w:rsid w:val="7B46089F"/>
    <w:rsid w:val="7BD858DD"/>
    <w:rsid w:val="7C705B15"/>
    <w:rsid w:val="7CFB5D27"/>
    <w:rsid w:val="7D2708CA"/>
    <w:rsid w:val="7D304D71"/>
    <w:rsid w:val="7E6B2A38"/>
    <w:rsid w:val="7EBF4B32"/>
    <w:rsid w:val="7F144E7E"/>
    <w:rsid w:val="7F651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39"/>
    <w:pPr>
      <w:spacing w:before="120"/>
      <w:jc w:val="left"/>
    </w:pPr>
    <w:rPr>
      <w:rFonts w:ascii="Calibri" w:hAnsi="Calibri"/>
      <w:b/>
      <w:bCs/>
      <w:i/>
      <w:iCs/>
      <w:sz w:val="24"/>
      <w:szCs w:val="24"/>
    </w:rPr>
  </w:style>
  <w:style w:type="character" w:styleId="9">
    <w:name w:val="Strong"/>
    <w:basedOn w:val="8"/>
    <w:qFormat/>
    <w:uiPriority w:val="0"/>
    <w:rPr>
      <w:b/>
    </w:rPr>
  </w:style>
  <w:style w:type="character" w:styleId="10">
    <w:name w:val="Emphasis"/>
    <w:basedOn w:val="8"/>
    <w:qFormat/>
    <w:uiPriority w:val="0"/>
    <w:rPr>
      <w:i/>
    </w:rPr>
  </w:style>
  <w:style w:type="paragraph" w:customStyle="1" w:styleId="11">
    <w:name w:val="TOC Heading 1"/>
    <w:basedOn w:val="2"/>
    <w:next w:val="1"/>
    <w:qFormat/>
    <w:uiPriority w:val="0"/>
    <w:pPr>
      <w:widowControl/>
      <w:spacing w:before="480" w:after="0" w:line="276" w:lineRule="auto"/>
      <w:jc w:val="left"/>
      <w:outlineLvl w:val="9"/>
    </w:pPr>
    <w:rPr>
      <w:rFonts w:ascii="Cambria" w:hAnsi="Cambria"/>
      <w:color w:val="385B86"/>
      <w:kern w:val="0"/>
      <w:sz w:val="28"/>
      <w:szCs w:val="28"/>
    </w:rPr>
  </w:style>
  <w:style w:type="paragraph" w:customStyle="1" w:styleId="12">
    <w:name w:val="二级节标题"/>
    <w:basedOn w:val="4"/>
    <w:next w:val="1"/>
    <w:qFormat/>
    <w:uiPriority w:val="0"/>
    <w:pPr>
      <w:spacing w:before="240" w:after="120" w:line="240" w:lineRule="auto"/>
      <w:jc w:val="left"/>
    </w:pPr>
    <w:rPr>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8419</Words>
  <Characters>11175</Characters>
  <Lines>0</Lines>
  <Paragraphs>0</Paragraphs>
  <TotalTime>27</TotalTime>
  <ScaleCrop>false</ScaleCrop>
  <LinksUpToDate>false</LinksUpToDate>
  <CharactersWithSpaces>11581</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2025-11-17T14:28:00Z</dcterms:created>
  <dc:creator>52834</dc:creator>
  <cp:lastModifiedBy>morty</cp:lastModifiedBy>
  <dcterms:modified xsi:type="dcterms:W3CDTF">2025-11-23T10:28:57Z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TemplateDocerSaveRecord">
    <vt:lpwstr>eyJoZGlkIjoiOTA2YTRlY2JlZWM2OTNlNjc4YzQ3Njc0MzAwMDYwMTMiLCJ1c2VySWQiOiI2NTYzNjI1NzQifQ==</vt:lpwstr>
  </property>
  <property fmtid="{D5CDD505-2E9C-101B-9397-08002B2CF9AE}" pid="4" name="ICV">
    <vt:lpwstr>93C5BCDDA8C94EF18698820E98EB604D_13</vt:lpwstr>
  </property>
</Properties>
</file>